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footer12.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rPr>
          <w:sz w:val="22"/>
          <w:szCs w:val="22"/>
        </w:rPr>
      </w:pPr>
      <w:r>
        <w:rPr>
          <w:sz w:val="22"/>
          <w:szCs w:val="22"/>
        </w:rPr>
        <w:drawing>
          <wp:anchor behindDoc="0" distT="0" distB="0" distL="0" distR="0" simplePos="0" locked="0" layoutInCell="0" allowOverlap="1" relativeHeight="2">
            <wp:simplePos x="0" y="0"/>
            <wp:positionH relativeFrom="column">
              <wp:posOffset>29845</wp:posOffset>
            </wp:positionH>
            <wp:positionV relativeFrom="paragraph">
              <wp:posOffset>22225</wp:posOffset>
            </wp:positionV>
            <wp:extent cx="1163320" cy="1078230"/>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2"/>
                    <a:srcRect l="-2" t="-2" r="-2" b="-2"/>
                    <a:stretch>
                      <a:fillRect/>
                    </a:stretch>
                  </pic:blipFill>
                  <pic:spPr bwMode="auto">
                    <a:xfrm>
                      <a:off x="0" y="0"/>
                      <a:ext cx="1163320" cy="1078230"/>
                    </a:xfrm>
                    <a:prstGeom prst="rect">
                      <a:avLst/>
                    </a:prstGeom>
                    <a:noFill/>
                  </pic:spPr>
                </pic:pic>
              </a:graphicData>
            </a:graphic>
          </wp:anchor>
        </w:drawing>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snapToGrid w:val="false"/>
        <w:spacing w:before="0" w:after="0"/>
        <w:ind w:hanging="0" w:left="0" w:right="0"/>
        <w:jc w:val="center"/>
        <w:rPr>
          <w:rFonts w:ascii="Marianne" w:hAnsi="Marianne" w:cs="Marianne"/>
          <w:b/>
          <w:bCs/>
          <w:caps/>
          <w:color w:val="auto"/>
          <w:sz w:val="22"/>
          <w:szCs w:val="22"/>
        </w:rPr>
      </w:pPr>
      <w:r>
        <w:rPr>
          <w:rFonts w:cs="Marianne" w:ascii="Marianne" w:hAnsi="Marianne"/>
          <w:b/>
          <w:bCs/>
          <w:caps/>
          <w:color w:val="auto"/>
          <w:sz w:val="22"/>
          <w:szCs w:val="22"/>
        </w:rPr>
      </w:r>
    </w:p>
    <w:p>
      <w:pPr>
        <w:pStyle w:val="Normal"/>
        <w:bidi w:val="0"/>
        <w:snapToGrid w:val="false"/>
        <w:ind w:hanging="0" w:left="567" w:right="497"/>
        <w:jc w:val="center"/>
        <w:rPr>
          <w:rFonts w:ascii="Marianne" w:hAnsi="Marianne" w:cs="Marianne"/>
          <w:b/>
          <w:bCs/>
          <w:sz w:val="22"/>
          <w:szCs w:val="22"/>
        </w:rPr>
      </w:pPr>
      <w:r>
        <w:rPr>
          <w:rFonts w:cs="Marianne" w:ascii="Marianne" w:hAnsi="Marianne"/>
          <w:b/>
          <w:bCs/>
          <w:sz w:val="22"/>
          <w:szCs w:val="22"/>
        </w:rPr>
      </w:r>
    </w:p>
    <w:p>
      <w:pPr>
        <w:pStyle w:val="Normal"/>
        <w:bidi w:val="0"/>
        <w:snapToGrid w:val="false"/>
        <w:ind w:hanging="0" w:left="0" w:right="497"/>
        <w:jc w:val="center"/>
        <w:rPr>
          <w:rFonts w:ascii="Marianne" w:hAnsi="Marianne" w:cs="Marianne"/>
          <w:b/>
          <w:bCs/>
          <w:sz w:val="22"/>
          <w:szCs w:val="22"/>
        </w:rPr>
      </w:pPr>
      <w:r>
        <w:rPr>
          <w:rFonts w:cs="Marianne" w:ascii="Marianne" w:hAnsi="Marianne"/>
          <w:b/>
          <w:bCs/>
          <w:sz w:val="22"/>
          <w:szCs w:val="22"/>
        </w:rPr>
      </w:r>
    </w:p>
    <w:p>
      <w:pPr>
        <w:pStyle w:val="Normal"/>
        <w:pBdr>
          <w:top w:val="thinThickLargeGap" w:sz="2" w:space="1" w:color="000000"/>
          <w:left w:val="thinThickLargeGap" w:sz="2" w:space="1" w:color="000000"/>
          <w:bottom w:val="thinThickLargeGap" w:sz="2" w:space="1" w:color="000000"/>
          <w:right w:val="thinThickLargeGap" w:sz="2" w:space="1" w:color="000000"/>
        </w:pBdr>
        <w:snapToGrid w:val="false"/>
        <w:spacing w:before="0" w:after="0"/>
        <w:ind w:hanging="0" w:left="0" w:right="0"/>
        <w:jc w:val="center"/>
        <w:rPr>
          <w:rFonts w:ascii="Marianne" w:hAnsi="Marianne" w:cs="Marianne"/>
          <w:b/>
          <w:bCs/>
          <w:i w:val="false"/>
          <w:caps w:val="false"/>
          <w:smallCaps w:val="false"/>
          <w:strike w:val="false"/>
          <w:dstrike w:val="false"/>
          <w:outline w:val="false"/>
          <w:shadow w:val="false"/>
          <w:sz w:val="22"/>
          <w:szCs w:val="22"/>
          <w:u w:val="none"/>
          <w:em w:val="none"/>
        </w:rPr>
      </w:pPr>
      <w:r>
        <w:rPr>
          <w:rFonts w:cs="Marianne" w:ascii="Marianne" w:hAnsi="Marianne"/>
          <w:b/>
          <w:bCs/>
          <w:i w:val="false"/>
          <w:caps w:val="false"/>
          <w:smallCaps w:val="false"/>
          <w:strike w:val="false"/>
          <w:dstrike w:val="false"/>
          <w:outline w:val="false"/>
          <w:shadow w:val="false"/>
          <w:sz w:val="22"/>
          <w:szCs w:val="22"/>
          <w:u w:val="none"/>
          <w:em w:val="none"/>
        </w:rPr>
      </w:r>
    </w:p>
    <w:p>
      <w:pPr>
        <w:pStyle w:val="Normal"/>
        <w:pBdr>
          <w:top w:val="thinThickLargeGap" w:sz="2" w:space="1" w:color="000000"/>
          <w:left w:val="thinThickLargeGap" w:sz="2" w:space="1" w:color="000000"/>
          <w:bottom w:val="thinThickLargeGap" w:sz="2" w:space="1" w:color="000000"/>
          <w:right w:val="thinThickLargeGap" w:sz="2" w:space="1" w:color="000000"/>
        </w:pBdr>
        <w:snapToGrid w:val="false"/>
        <w:spacing w:before="0" w:after="0"/>
        <w:ind w:hanging="0" w:left="0" w:right="0"/>
        <w:jc w:val="center"/>
        <w:rPr>
          <w:highlight w:val="none"/>
          <w:shd w:fill="auto" w:val="clear"/>
        </w:rPr>
      </w:pPr>
      <w:r>
        <w:rPr>
          <w:rFonts w:cs="Marianne" w:ascii="Marianne" w:hAnsi="Marianne"/>
          <w:b/>
          <w:bCs/>
          <w:i w:val="false"/>
          <w:caps w:val="false"/>
          <w:smallCaps w:val="false"/>
          <w:strike w:val="false"/>
          <w:dstrike w:val="false"/>
          <w:outline w:val="false"/>
          <w:shadow w:val="false"/>
          <w:sz w:val="22"/>
          <w:szCs w:val="22"/>
          <w:u w:val="none"/>
          <w:shd w:fill="auto" w:val="clear"/>
          <w:em w:val="none"/>
        </w:rPr>
        <w:t>Travaux de Rénovation légère du SHLS dans les locaux de la DEAL</w:t>
      </w:r>
    </w:p>
    <w:p>
      <w:pPr>
        <w:pStyle w:val="Normal"/>
        <w:pBdr>
          <w:top w:val="thinThickLargeGap" w:sz="2" w:space="1" w:color="000000"/>
          <w:left w:val="thinThickLargeGap" w:sz="2" w:space="1" w:color="000000"/>
          <w:bottom w:val="thinThickLargeGap" w:sz="2" w:space="1" w:color="000000"/>
          <w:right w:val="thinThickLargeGap" w:sz="2" w:space="1" w:color="000000"/>
        </w:pBdr>
        <w:snapToGrid w:val="false"/>
        <w:spacing w:before="0" w:after="0"/>
        <w:ind w:hanging="0" w:left="0" w:right="0"/>
        <w:jc w:val="center"/>
        <w:rPr>
          <w:rFonts w:ascii="Marianne" w:hAnsi="Marianne" w:cs="Marianne"/>
          <w:b/>
          <w:bCs/>
          <w:i w:val="false"/>
          <w:caps w:val="false"/>
          <w:smallCaps w:val="false"/>
          <w:strike w:val="false"/>
          <w:dstrike w:val="false"/>
          <w:outline w:val="false"/>
          <w:shadow w:val="false"/>
          <w:sz w:val="22"/>
          <w:szCs w:val="22"/>
          <w:u w:val="none"/>
          <w:em w:val="none"/>
        </w:rPr>
      </w:pPr>
      <w:r>
        <w:rPr>
          <w:rFonts w:cs="Marianne" w:ascii="Marianne" w:hAnsi="Marianne"/>
          <w:b/>
          <w:bCs/>
          <w:i w:val="false"/>
          <w:caps w:val="false"/>
          <w:smallCaps w:val="false"/>
          <w:strike w:val="false"/>
          <w:dstrike w:val="false"/>
          <w:outline w:val="false"/>
          <w:shadow w:val="false"/>
          <w:sz w:val="22"/>
          <w:szCs w:val="22"/>
          <w:u w:val="none"/>
          <w:em w:val="none"/>
        </w:rPr>
      </w:r>
    </w:p>
    <w:p>
      <w:pPr>
        <w:pStyle w:val="Normal"/>
        <w:pageBreakBefore w:val="false"/>
        <w:snapToGrid w:val="false"/>
        <w:spacing w:before="0" w:after="0"/>
        <w:jc w:val="center"/>
        <w:rPr>
          <w:rFonts w:ascii="Marianne" w:hAnsi="Marianne" w:cs="Marianne"/>
          <w:b/>
          <w:bCs/>
          <w:i w:val="false"/>
          <w:caps w:val="false"/>
          <w:smallCaps w:val="false"/>
          <w:strike w:val="false"/>
          <w:dstrike w:val="false"/>
          <w:outline w:val="false"/>
          <w:shadow w:val="false"/>
          <w:sz w:val="22"/>
          <w:szCs w:val="22"/>
          <w:u w:val="none"/>
          <w:em w:val="none"/>
        </w:rPr>
      </w:pPr>
      <w:r>
        <w:rPr>
          <w:rFonts w:cs="Marianne" w:ascii="Marianne" w:hAnsi="Marianne"/>
          <w:b/>
          <w:bCs/>
          <w:i w:val="false"/>
          <w:caps w:val="false"/>
          <w:smallCaps w:val="false"/>
          <w:strike w:val="false"/>
          <w:dstrike w:val="false"/>
          <w:outline w:val="false"/>
          <w:shadow w:val="false"/>
          <w:sz w:val="22"/>
          <w:szCs w:val="22"/>
          <w:u w:val="none"/>
          <w:em w:val="none"/>
        </w:rPr>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b/>
          <w:bCs/>
          <w:sz w:val="22"/>
          <w:szCs w:val="22"/>
          <w:u w:val="none"/>
        </w:rPr>
        <w:t>Annexe 1 au règlement de la consultation</w:t>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b/>
          <w:bCs/>
          <w:sz w:val="22"/>
          <w:szCs w:val="22"/>
        </w:rPr>
        <w:t>Cadre de réponse du mémoire technique</w:t>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b/>
          <w:bCs/>
          <w:sz w:val="22"/>
          <w:szCs w:val="22"/>
        </w:rPr>
        <w:t>Offre technique du candidat</w:t>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b/>
          <w:bCs/>
          <w:sz w:val="22"/>
          <w:szCs w:val="22"/>
        </w:rPr>
        <w:t>Critères qualifiants environnementaux</w:t>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sz w:val="22"/>
          <w:szCs w:val="22"/>
        </w:rPr>
        <w:t xml:space="preserve">Cette annexe comporte </w:t>
      </w:r>
      <w:r>
        <w:rPr>
          <w:sz w:val="22"/>
          <w:szCs w:val="22"/>
        </w:rPr>
        <w:fldChar w:fldCharType="begin"/>
      </w:r>
      <w:r>
        <w:rPr>
          <w:sz w:val="22"/>
          <w:szCs w:val="22"/>
        </w:rPr>
        <w:instrText xml:space="preserve"> NUMPAGES </w:instrText>
      </w:r>
      <w:r>
        <w:rPr>
          <w:sz w:val="22"/>
          <w:szCs w:val="22"/>
        </w:rPr>
        <w:fldChar w:fldCharType="separate"/>
      </w:r>
      <w:r>
        <w:rPr>
          <w:sz w:val="22"/>
          <w:szCs w:val="22"/>
        </w:rPr>
        <w:t>5</w:t>
      </w:r>
      <w:r>
        <w:rPr>
          <w:sz w:val="22"/>
          <w:szCs w:val="22"/>
        </w:rPr>
        <w:fldChar w:fldCharType="end"/>
      </w:r>
      <w:r>
        <w:rPr>
          <w:sz w:val="22"/>
          <w:szCs w:val="22"/>
        </w:rPr>
        <w:t xml:space="preserve"> pages</w:t>
      </w:r>
    </w:p>
    <w:p>
      <w:pPr>
        <w:pStyle w:val="Normal"/>
        <w:snapToGrid w:val="false"/>
        <w:spacing w:before="0" w:after="0"/>
        <w:jc w:val="center"/>
        <w:rPr>
          <w:sz w:val="22"/>
          <w:szCs w:val="22"/>
        </w:rPr>
      </w:pPr>
      <w:r>
        <w:rPr>
          <w:sz w:val="22"/>
          <w:szCs w:val="22"/>
        </w:rPr>
      </w:r>
    </w:p>
    <w:p>
      <w:pPr>
        <w:pStyle w:val="Normal"/>
        <w:snapToGrid w:val="false"/>
        <w:spacing w:before="0" w:after="0"/>
        <w:jc w:val="both"/>
        <w:rPr>
          <w:b w:val="false"/>
          <w:i w:val="false"/>
          <w:color w:val="000000"/>
          <w:sz w:val="22"/>
          <w:szCs w:val="22"/>
        </w:rPr>
      </w:pPr>
      <w:r>
        <w:rPr>
          <w:b w:val="false"/>
          <w:i w:val="false"/>
          <w:color w:val="000000"/>
          <w:sz w:val="22"/>
          <w:szCs w:val="22"/>
        </w:rPr>
      </w:r>
      <w:r>
        <w:br w:type="page"/>
      </w:r>
    </w:p>
    <w:p>
      <w:pPr>
        <w:pStyle w:val="Normal"/>
        <w:snapToGrid w:val="false"/>
        <w:spacing w:before="0" w:after="0"/>
        <w:jc w:val="both"/>
        <w:rPr>
          <w:b w:val="false"/>
          <w:i w:val="false"/>
          <w:color w:val="000000"/>
          <w:sz w:val="22"/>
          <w:szCs w:val="22"/>
        </w:rPr>
      </w:pPr>
      <w:r>
        <w:rPr>
          <w:b w:val="false"/>
          <w:i w:val="false"/>
          <w:color w:val="000000"/>
          <w:sz w:val="22"/>
          <w:szCs w:val="22"/>
        </w:rPr>
        <w:t>Conformément au règlement de consultation, le présent mémoire constitue la justification de l’offre au regard du critère suivant :</w:t>
      </w:r>
    </w:p>
    <w:p>
      <w:pPr>
        <w:pStyle w:val="Normal"/>
        <w:snapToGrid w:val="false"/>
        <w:spacing w:before="0" w:after="0"/>
        <w:jc w:val="both"/>
        <w:rPr>
          <w:b w:val="false"/>
          <w:i w:val="false"/>
          <w:color w:val="000000"/>
          <w:sz w:val="22"/>
          <w:szCs w:val="22"/>
        </w:rPr>
      </w:pPr>
      <w:r>
        <w:rPr>
          <w:b w:val="false"/>
          <w:i w:val="false"/>
          <w:color w:val="000000"/>
          <w:sz w:val="22"/>
          <w:szCs w:val="22"/>
        </w:rPr>
      </w:r>
    </w:p>
    <w:p>
      <w:pPr>
        <w:pStyle w:val="Normal"/>
        <w:snapToGrid w:val="false"/>
        <w:spacing w:before="0" w:after="0"/>
        <w:ind w:hanging="0" w:left="0" w:right="57"/>
        <w:jc w:val="both"/>
        <w:rPr>
          <w:highlight w:val="none"/>
          <w:shd w:fill="auto" w:val="clear"/>
        </w:rPr>
      </w:pPr>
      <w:r>
        <w:rPr>
          <w:b/>
          <w:bCs/>
          <w:i w:val="false"/>
          <w:color w:val="000000"/>
          <w:sz w:val="22"/>
          <w:szCs w:val="22"/>
          <w:shd w:fill="auto" w:val="clear"/>
        </w:rPr>
        <w:t>CRITÈRE ENVIRONNEMENTA</w:t>
      </w:r>
      <w:r>
        <w:rPr>
          <w:b/>
          <w:bCs/>
          <w:i w:val="false"/>
          <w:color w:val="000000"/>
          <w:sz w:val="22"/>
          <w:szCs w:val="22"/>
          <w:shd w:fill="auto" w:val="clear"/>
        </w:rPr>
        <w:t>L</w:t>
      </w:r>
      <w:r>
        <w:rPr>
          <w:b/>
          <w:bCs/>
          <w:i w:val="false"/>
          <w:color w:val="000000"/>
          <w:sz w:val="22"/>
          <w:szCs w:val="22"/>
          <w:shd w:fill="auto" w:val="clear"/>
        </w:rPr>
        <w:t xml:space="preserve"> (pondérée à 10 %)</w:t>
      </w:r>
    </w:p>
    <w:p>
      <w:pPr>
        <w:pStyle w:val="Parareponse"/>
        <w:keepNext w:val="false"/>
        <w:snapToGrid w:val="false"/>
        <w:spacing w:before="0" w:after="0"/>
        <w:ind w:hanging="0" w:left="0" w:right="0"/>
        <w:jc w:val="both"/>
        <w:rPr>
          <w:b w:val="false"/>
          <w:bCs w:val="false"/>
          <w:i w:val="false"/>
          <w:color w:val="000000"/>
          <w:sz w:val="22"/>
          <w:szCs w:val="22"/>
        </w:rPr>
      </w:pPr>
      <w:r>
        <w:rPr>
          <w:rFonts w:eastAsia="Times New Roman" w:cs="Times New Roman"/>
          <w:b w:val="false"/>
          <w:bCs w:val="false"/>
          <w:i w:val="false"/>
          <w:iCs w:val="false"/>
          <w:color w:val="000000"/>
          <w:sz w:val="22"/>
          <w:szCs w:val="22"/>
          <w:shd w:fill="auto" w:val="clear"/>
        </w:rPr>
        <w:t xml:space="preserve">Conformément à l’article 4.2.3 du RC, une </w:t>
      </w:r>
      <w:r>
        <w:rPr>
          <w:rFonts w:eastAsia="Times New Roman" w:cs="Times New Roman"/>
          <w:b/>
          <w:bCs/>
          <w:i w:val="false"/>
          <w:iCs w:val="false"/>
          <w:color w:val="000000"/>
          <w:sz w:val="22"/>
          <w:szCs w:val="22"/>
          <w:shd w:fill="auto" w:val="clear"/>
        </w:rPr>
        <w:t xml:space="preserve">note sur </w:t>
      </w:r>
      <w:r>
        <w:rPr>
          <w:rFonts w:eastAsia="Times New Roman" w:cs="Times New Roman"/>
          <w:b/>
          <w:bCs/>
          <w:i w:val="false"/>
          <w:iCs w:val="false"/>
          <w:color w:val="000000"/>
          <w:sz w:val="22"/>
          <w:szCs w:val="22"/>
          <w:shd w:fill="auto" w:val="clear"/>
          <w:lang w:val="zxx" w:eastAsia="zxx" w:bidi="zxx"/>
        </w:rPr>
        <w:t>100</w:t>
      </w:r>
      <w:r>
        <w:rPr>
          <w:rFonts w:eastAsia="Times New Roman" w:cs="Times New Roman"/>
          <w:b w:val="false"/>
          <w:bCs w:val="false"/>
          <w:i w:val="false"/>
          <w:iCs w:val="false"/>
          <w:color w:val="000000"/>
          <w:sz w:val="22"/>
          <w:szCs w:val="22"/>
          <w:shd w:fill="auto" w:val="clear"/>
        </w:rPr>
        <w:t xml:space="preserve"> </w:t>
      </w:r>
      <w:r>
        <w:rPr>
          <w:rFonts w:eastAsia="Times New Roman" w:cs="Times New Roman"/>
          <w:b w:val="false"/>
          <w:bCs w:val="false"/>
          <w:i w:val="false"/>
          <w:iCs w:val="false"/>
          <w:color w:val="000000"/>
          <w:sz w:val="22"/>
          <w:szCs w:val="22"/>
          <w:shd w:fill="auto" w:val="clear"/>
        </w:rPr>
        <w:t>s</w:t>
      </w:r>
      <w:r>
        <w:rPr>
          <w:b w:val="false"/>
          <w:bCs w:val="false"/>
          <w:i w:val="false"/>
          <w:color w:val="000000"/>
          <w:sz w:val="22"/>
          <w:szCs w:val="22"/>
          <w:shd w:fill="auto" w:val="clear"/>
        </w:rPr>
        <w:t xml:space="preserve">era attribuée à la valeur </w:t>
      </w:r>
      <w:r>
        <w:rPr>
          <w:b w:val="false"/>
          <w:bCs w:val="false"/>
          <w:i w:val="false"/>
          <w:color w:val="000000"/>
          <w:sz w:val="22"/>
          <w:szCs w:val="22"/>
          <w:shd w:fill="auto" w:val="clear"/>
        </w:rPr>
        <w:t>Environnementale</w:t>
      </w:r>
      <w:r>
        <w:rPr>
          <w:b w:val="false"/>
          <w:bCs w:val="false"/>
          <w:i w:val="false"/>
          <w:color w:val="000000"/>
          <w:sz w:val="22"/>
          <w:szCs w:val="22"/>
          <w:shd w:fill="auto" w:val="clear"/>
        </w:rPr>
        <w:t xml:space="preserve"> sur la base des critères qualifiants (CQ) affectés de leurs coefficients r</w:t>
      </w:r>
      <w:r>
        <w:rPr>
          <w:b w:val="false"/>
          <w:bCs w:val="false"/>
          <w:i w:val="false"/>
          <w:color w:val="000000"/>
          <w:sz w:val="22"/>
          <w:szCs w:val="22"/>
        </w:rPr>
        <w:t xml:space="preserve">espectifs: </w:t>
      </w:r>
    </w:p>
    <w:p>
      <w:pPr>
        <w:pStyle w:val="Parareponse"/>
        <w:snapToGrid w:val="false"/>
        <w:spacing w:before="0" w:after="0"/>
        <w:ind w:hanging="0" w:left="0" w:right="0"/>
        <w:jc w:val="both"/>
        <w:rPr>
          <w:b w:val="false"/>
          <w:bCs w:val="false"/>
          <w:i w:val="false"/>
          <w:color w:val="000000"/>
          <w:sz w:val="22"/>
          <w:szCs w:val="22"/>
        </w:rPr>
      </w:pPr>
      <w:r>
        <w:rPr>
          <w:b w:val="false"/>
          <w:bCs w:val="false"/>
          <w:i w:val="false"/>
          <w:color w:val="000000"/>
          <w:sz w:val="22"/>
          <w:szCs w:val="22"/>
        </w:rPr>
      </w:r>
    </w:p>
    <w:tbl>
      <w:tblPr>
        <w:tblW w:w="10713" w:type="dxa"/>
        <w:jc w:val="left"/>
        <w:tblInd w:w="100" w:type="dxa"/>
        <w:tblLayout w:type="fixed"/>
        <w:tblCellMar>
          <w:top w:w="55" w:type="dxa"/>
          <w:left w:w="55" w:type="dxa"/>
          <w:bottom w:w="55" w:type="dxa"/>
          <w:right w:w="55" w:type="dxa"/>
        </w:tblCellMar>
      </w:tblPr>
      <w:tblGrid>
        <w:gridCol w:w="9125"/>
        <w:gridCol w:w="1588"/>
      </w:tblGrid>
      <w:tr>
        <w:trPr/>
        <w:tc>
          <w:tcPr>
            <w:tcW w:w="9125" w:type="dxa"/>
            <w:tcBorders>
              <w:top w:val="single" w:sz="2" w:space="0" w:color="000000"/>
              <w:left w:val="single" w:sz="2" w:space="0" w:color="000000"/>
            </w:tcBorders>
            <w:shd w:fill="5983B0" w:val="clear"/>
          </w:tcPr>
          <w:p>
            <w:pPr>
              <w:pStyle w:val="Normal"/>
              <w:widowControl w:val="false"/>
              <w:spacing w:before="0" w:after="0"/>
              <w:jc w:val="center"/>
              <w:rPr>
                <w:rFonts w:cs="Times New Roman"/>
                <w:b/>
                <w:bCs/>
                <w:i w:val="false"/>
                <w:iCs w:val="false"/>
                <w:strike w:val="false"/>
                <w:dstrike w:val="false"/>
                <w:outline w:val="false"/>
                <w:shadow w:val="false"/>
                <w:color w:val="FFFFFF"/>
                <w:sz w:val="22"/>
                <w:szCs w:val="22"/>
                <w:u w:val="none"/>
                <w:lang w:val="zxx" w:eastAsia="zxx" w:bidi="zxx"/>
              </w:rPr>
            </w:pPr>
            <w:r>
              <w:rPr>
                <w:rFonts w:cs="Times New Roman"/>
                <w:b/>
                <w:bCs/>
                <w:i w:val="false"/>
                <w:iCs w:val="false"/>
                <w:strike w:val="false"/>
                <w:dstrike w:val="false"/>
                <w:outline w:val="false"/>
                <w:shadow w:val="false"/>
                <w:color w:val="FFFFFF"/>
                <w:sz w:val="22"/>
                <w:szCs w:val="22"/>
                <w:u w:val="none"/>
                <w:lang w:val="zxx" w:eastAsia="zxx" w:bidi="zxx"/>
              </w:rPr>
              <w:t>Critères qualifiants</w:t>
            </w:r>
          </w:p>
        </w:tc>
        <w:tc>
          <w:tcPr>
            <w:tcW w:w="1588" w:type="dxa"/>
            <w:tcBorders>
              <w:top w:val="single" w:sz="2" w:space="0" w:color="000000"/>
              <w:left w:val="single" w:sz="2" w:space="0" w:color="000000"/>
              <w:bottom w:val="single" w:sz="2" w:space="0" w:color="000000"/>
              <w:right w:val="single" w:sz="2" w:space="0" w:color="000000"/>
            </w:tcBorders>
            <w:shd w:fill="5983B0" w:val="clear"/>
          </w:tcPr>
          <w:p>
            <w:pPr>
              <w:pStyle w:val="Contenudetableauuser"/>
              <w:widowControl w:val="false"/>
              <w:jc w:val="center"/>
              <w:rPr>
                <w:rFonts w:cs="Times New Roman"/>
                <w:b/>
                <w:bCs/>
                <w:i w:val="false"/>
                <w:iCs w:val="false"/>
                <w:strike w:val="false"/>
                <w:dstrike w:val="false"/>
                <w:outline w:val="false"/>
                <w:shadow w:val="false"/>
                <w:color w:val="FFFFFF"/>
                <w:sz w:val="22"/>
                <w:szCs w:val="22"/>
                <w:u w:val="none"/>
                <w:lang w:val="zxx" w:eastAsia="zxx" w:bidi="zxx"/>
              </w:rPr>
            </w:pPr>
            <w:r>
              <w:rPr>
                <w:rFonts w:cs="Times New Roman"/>
                <w:b/>
                <w:bCs/>
                <w:i w:val="false"/>
                <w:iCs w:val="false"/>
                <w:strike w:val="false"/>
                <w:dstrike w:val="false"/>
                <w:outline w:val="false"/>
                <w:shadow w:val="false"/>
                <w:color w:val="FFFFFF"/>
                <w:sz w:val="22"/>
                <w:szCs w:val="22"/>
                <w:u w:val="none"/>
                <w:lang w:val="zxx" w:eastAsia="zxx" w:bidi="zxx"/>
              </w:rPr>
              <w:t>Coefficient</w:t>
            </w:r>
          </w:p>
        </w:tc>
      </w:tr>
      <w:tr>
        <w:trPr/>
        <w:tc>
          <w:tcPr>
            <w:tcW w:w="9125" w:type="dxa"/>
            <w:tcBorders>
              <w:top w:val="single" w:sz="2" w:space="0" w:color="000000"/>
              <w:left w:val="single" w:sz="2" w:space="0" w:color="000000"/>
              <w:bottom w:val="single" w:sz="2" w:space="0" w:color="000000"/>
            </w:tcBorders>
            <w:vAlign w:val="center"/>
          </w:tcPr>
          <w:p>
            <w:pPr>
              <w:pStyle w:val="Normal"/>
              <w:widowControl w:val="false"/>
              <w:ind w:hanging="0" w:left="0" w:right="57"/>
              <w:jc w:val="both"/>
              <w:rPr/>
            </w:pPr>
            <w:r>
              <w:rPr>
                <w:b/>
                <w:bCs/>
                <w:i w:val="false"/>
                <w:iCs w:val="false"/>
                <w:strike w:val="false"/>
                <w:dstrike w:val="false"/>
                <w:outline w:val="false"/>
                <w:shadow w:val="false"/>
                <w:color w:val="000000"/>
                <w:sz w:val="22"/>
                <w:szCs w:val="22"/>
                <w:u w:val="none"/>
                <w:shd w:fill="auto" w:val="clear"/>
              </w:rPr>
              <w:t xml:space="preserve">CQ 1 : </w:t>
            </w:r>
            <w:r>
              <w:rPr>
                <w:b/>
                <w:bCs/>
                <w:i w:val="false"/>
                <w:iCs w:val="false"/>
                <w:strike w:val="false"/>
                <w:dstrike w:val="false"/>
                <w:outline w:val="false"/>
                <w:shadow w:val="false"/>
                <w:color w:val="000000"/>
                <w:kern w:val="2"/>
                <w:sz w:val="22"/>
                <w:szCs w:val="22"/>
                <w:u w:val="none"/>
                <w:shd w:fill="auto" w:val="clear"/>
                <w:em w:val="none"/>
              </w:rPr>
              <w:t>La gestion et tri des déchets</w:t>
            </w:r>
          </w:p>
        </w:tc>
        <w:tc>
          <w:tcPr>
            <w:tcW w:w="1588"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jc w:val="center"/>
              <w:rPr>
                <w:b/>
                <w:bCs/>
                <w:i w:val="false"/>
                <w:iCs w:val="false"/>
                <w:strike w:val="false"/>
                <w:dstrike w:val="false"/>
                <w:outline w:val="false"/>
                <w:shadow w:val="false"/>
                <w:color w:val="auto"/>
                <w:sz w:val="22"/>
                <w:szCs w:val="22"/>
                <w:u w:val="none"/>
                <w:shd w:fill="auto" w:val="clear"/>
              </w:rPr>
            </w:pPr>
            <w:r>
              <w:rPr>
                <w:b/>
                <w:bCs/>
                <w:i w:val="false"/>
                <w:iCs w:val="false"/>
                <w:strike w:val="false"/>
                <w:dstrike w:val="false"/>
                <w:outline w:val="false"/>
                <w:shadow w:val="false"/>
                <w:color w:val="auto"/>
                <w:sz w:val="22"/>
                <w:szCs w:val="22"/>
                <w:u w:val="none"/>
                <w:shd w:fill="auto" w:val="clear"/>
              </w:rPr>
              <w:t>3</w:t>
            </w:r>
          </w:p>
        </w:tc>
      </w:tr>
      <w:tr>
        <w:trPr/>
        <w:tc>
          <w:tcPr>
            <w:tcW w:w="9125" w:type="dxa"/>
            <w:tcBorders>
              <w:left w:val="single" w:sz="2" w:space="0" w:color="000000"/>
              <w:bottom w:val="single" w:sz="2" w:space="0" w:color="000000"/>
            </w:tcBorders>
            <w:vAlign w:val="center"/>
          </w:tcPr>
          <w:p>
            <w:pPr>
              <w:pStyle w:val="Normal"/>
              <w:widowControl w:val="false"/>
              <w:ind w:hanging="0" w:left="0" w:right="0"/>
              <w:rPr>
                <w:b/>
                <w:bCs/>
                <w:i w:val="false"/>
                <w:iCs w:val="false"/>
                <w:strike w:val="false"/>
                <w:dstrike w:val="false"/>
                <w:outline w:val="false"/>
                <w:shadow w:val="false"/>
                <w:color w:val="000000"/>
                <w:sz w:val="22"/>
                <w:szCs w:val="22"/>
                <w:u w:val="none"/>
                <w:shd w:fill="auto" w:val="clear"/>
                <w:em w:val="none"/>
              </w:rPr>
            </w:pPr>
            <w:r>
              <w:rPr>
                <w:b/>
                <w:bCs/>
                <w:i w:val="false"/>
                <w:iCs w:val="false"/>
                <w:strike w:val="false"/>
                <w:dstrike w:val="false"/>
                <w:outline w:val="false"/>
                <w:shadow w:val="false"/>
                <w:color w:val="000000"/>
                <w:sz w:val="22"/>
                <w:szCs w:val="22"/>
                <w:u w:val="none"/>
                <w:shd w:fill="auto" w:val="clear"/>
                <w:em w:val="none"/>
              </w:rPr>
              <w:t>CQ 2 : Filières de recyclage des équipements déposés</w:t>
            </w:r>
          </w:p>
        </w:tc>
        <w:tc>
          <w:tcPr>
            <w:tcW w:w="1588" w:type="dxa"/>
            <w:tcBorders>
              <w:left w:val="single" w:sz="2" w:space="0" w:color="000000"/>
              <w:bottom w:val="single" w:sz="2" w:space="0" w:color="000000"/>
              <w:right w:val="single" w:sz="2" w:space="0" w:color="000000"/>
            </w:tcBorders>
            <w:vAlign w:val="center"/>
          </w:tcPr>
          <w:p>
            <w:pPr>
              <w:pStyle w:val="Normal"/>
              <w:widowControl w:val="false"/>
              <w:jc w:val="center"/>
              <w:rPr>
                <w:b/>
                <w:bCs/>
                <w:i w:val="false"/>
                <w:iCs w:val="false"/>
                <w:strike w:val="false"/>
                <w:dstrike w:val="false"/>
                <w:outline w:val="false"/>
                <w:shadow w:val="false"/>
                <w:sz w:val="22"/>
                <w:szCs w:val="22"/>
                <w:u w:val="none"/>
                <w:shd w:fill="auto" w:val="clear"/>
              </w:rPr>
            </w:pPr>
            <w:r>
              <w:rPr>
                <w:b/>
                <w:bCs/>
                <w:i w:val="false"/>
                <w:iCs w:val="false"/>
                <w:strike w:val="false"/>
                <w:dstrike w:val="false"/>
                <w:outline w:val="false"/>
                <w:shadow w:val="false"/>
                <w:sz w:val="22"/>
                <w:szCs w:val="22"/>
                <w:u w:val="none"/>
                <w:shd w:fill="auto" w:val="clear"/>
              </w:rPr>
              <w:t>3</w:t>
            </w:r>
          </w:p>
        </w:tc>
      </w:tr>
      <w:tr>
        <w:trPr/>
        <w:tc>
          <w:tcPr>
            <w:tcW w:w="9125" w:type="dxa"/>
            <w:tcBorders>
              <w:left w:val="single" w:sz="2" w:space="0" w:color="000000"/>
              <w:bottom w:val="single" w:sz="2" w:space="0" w:color="000000"/>
            </w:tcBorders>
            <w:vAlign w:val="center"/>
          </w:tcPr>
          <w:p>
            <w:pPr>
              <w:pStyle w:val="Normal"/>
              <w:widowControl w:val="false"/>
              <w:ind w:hanging="0" w:left="0" w:right="57"/>
              <w:jc w:val="both"/>
              <w:rPr/>
            </w:pPr>
            <w:r>
              <w:rPr>
                <w:b/>
                <w:bCs/>
                <w:i w:val="false"/>
                <w:iCs w:val="false"/>
                <w:strike w:val="false"/>
                <w:dstrike w:val="false"/>
                <w:outline w:val="false"/>
                <w:shadow w:val="false"/>
                <w:color w:val="000000"/>
                <w:sz w:val="22"/>
                <w:szCs w:val="22"/>
                <w:u w:val="none"/>
                <w:shd w:fill="auto" w:val="clear"/>
              </w:rPr>
              <w:t xml:space="preserve">CQ 3 : </w:t>
            </w:r>
            <w:r>
              <w:rPr>
                <w:b/>
                <w:bCs/>
                <w:i w:val="false"/>
                <w:iCs w:val="false"/>
                <w:strike w:val="false"/>
                <w:dstrike w:val="false"/>
                <w:outline w:val="false"/>
                <w:shadow w:val="false"/>
                <w:color w:val="000000"/>
                <w:sz w:val="22"/>
                <w:szCs w:val="22"/>
                <w:u w:val="none"/>
                <w:shd w:fill="auto" w:val="clear"/>
                <w:em w:val="none"/>
              </w:rPr>
              <w:t>Limitation des consommations et des pollutions</w:t>
            </w:r>
          </w:p>
        </w:tc>
        <w:tc>
          <w:tcPr>
            <w:tcW w:w="1588" w:type="dxa"/>
            <w:tcBorders>
              <w:left w:val="single" w:sz="2" w:space="0" w:color="000000"/>
              <w:bottom w:val="single" w:sz="2" w:space="0" w:color="000000"/>
              <w:right w:val="single" w:sz="2" w:space="0" w:color="000000"/>
            </w:tcBorders>
            <w:vAlign w:val="center"/>
          </w:tcPr>
          <w:p>
            <w:pPr>
              <w:pStyle w:val="Normal"/>
              <w:widowControl w:val="false"/>
              <w:jc w:val="center"/>
              <w:rPr>
                <w:b/>
                <w:bCs/>
                <w:i w:val="false"/>
                <w:iCs w:val="false"/>
                <w:strike w:val="false"/>
                <w:dstrike w:val="false"/>
                <w:outline w:val="false"/>
                <w:shadow w:val="false"/>
                <w:color w:val="auto"/>
                <w:sz w:val="22"/>
                <w:szCs w:val="22"/>
                <w:u w:val="none"/>
                <w:shd w:fill="auto" w:val="clear"/>
              </w:rPr>
            </w:pPr>
            <w:r>
              <w:rPr>
                <w:b/>
                <w:bCs/>
                <w:i w:val="false"/>
                <w:iCs w:val="false"/>
                <w:strike w:val="false"/>
                <w:dstrike w:val="false"/>
                <w:outline w:val="false"/>
                <w:shadow w:val="false"/>
                <w:color w:val="auto"/>
                <w:sz w:val="22"/>
                <w:szCs w:val="22"/>
                <w:u w:val="none"/>
                <w:shd w:fill="auto" w:val="clear"/>
              </w:rPr>
              <w:t>2</w:t>
            </w:r>
          </w:p>
        </w:tc>
      </w:tr>
      <w:tr>
        <w:trPr/>
        <w:tc>
          <w:tcPr>
            <w:tcW w:w="9125" w:type="dxa"/>
            <w:tcBorders>
              <w:left w:val="single" w:sz="2" w:space="0" w:color="000000"/>
              <w:bottom w:val="single" w:sz="2" w:space="0" w:color="000000"/>
            </w:tcBorders>
            <w:vAlign w:val="center"/>
          </w:tcPr>
          <w:p>
            <w:pPr>
              <w:pStyle w:val="Normal"/>
              <w:widowControl w:val="false"/>
              <w:jc w:val="both"/>
              <w:rPr/>
            </w:pPr>
            <w:r>
              <w:rPr>
                <w:rFonts w:cs="Times New Roman"/>
                <w:b/>
                <w:bCs/>
                <w:i w:val="false"/>
                <w:iCs w:val="false"/>
                <w:strike w:val="false"/>
                <w:dstrike w:val="false"/>
                <w:outline w:val="false"/>
                <w:shadow w:val="false"/>
                <w:color w:val="000000"/>
                <w:kern w:val="2"/>
                <w:sz w:val="22"/>
                <w:szCs w:val="22"/>
                <w:u w:val="none"/>
                <w:shd w:fill="auto" w:val="clear"/>
                <w:em w:val="none"/>
              </w:rPr>
              <w:t xml:space="preserve">CQ 4 </w:t>
            </w:r>
            <w:r>
              <w:rPr>
                <w:b/>
                <w:bCs/>
                <w:i w:val="false"/>
                <w:strike w:val="false"/>
                <w:dstrike w:val="false"/>
                <w:outline w:val="false"/>
                <w:shadow w:val="false"/>
                <w:color w:val="000000"/>
                <w:kern w:val="2"/>
                <w:sz w:val="22"/>
                <w:szCs w:val="22"/>
                <w:u w:val="none"/>
                <w:shd w:fill="auto" w:val="clear"/>
                <w:em w:val="none"/>
              </w:rPr>
              <w:t>: Mesures de protection de l’environnement immédiat</w:t>
            </w:r>
          </w:p>
        </w:tc>
        <w:tc>
          <w:tcPr>
            <w:tcW w:w="1588" w:type="dxa"/>
            <w:tcBorders>
              <w:left w:val="single" w:sz="2" w:space="0" w:color="000000"/>
              <w:bottom w:val="single" w:sz="2" w:space="0" w:color="000000"/>
              <w:right w:val="single" w:sz="2" w:space="0" w:color="000000"/>
            </w:tcBorders>
            <w:vAlign w:val="center"/>
          </w:tcPr>
          <w:p>
            <w:pPr>
              <w:pStyle w:val="Normal"/>
              <w:widowControl w:val="false"/>
              <w:jc w:val="center"/>
              <w:rPr>
                <w:b/>
                <w:bCs/>
                <w:color w:val="auto"/>
                <w:sz w:val="22"/>
                <w:szCs w:val="22"/>
                <w:shd w:fill="auto" w:val="clear"/>
              </w:rPr>
            </w:pPr>
            <w:r>
              <w:rPr>
                <w:b/>
                <w:bCs/>
                <w:color w:val="auto"/>
                <w:sz w:val="22"/>
                <w:szCs w:val="22"/>
                <w:shd w:fill="auto" w:val="clear"/>
              </w:rPr>
              <w:t>1</w:t>
            </w:r>
          </w:p>
        </w:tc>
      </w:tr>
    </w:tbl>
    <w:p>
      <w:pPr>
        <w:pStyle w:val="Normal"/>
        <w:snapToGrid w:val="false"/>
        <w:spacing w:before="0" w:after="0"/>
        <w:jc w:val="both"/>
        <w:rPr>
          <w:i w:val="false"/>
          <w:color w:val="000000"/>
          <w:sz w:val="22"/>
          <w:szCs w:val="22"/>
        </w:rPr>
      </w:pPr>
      <w:r>
        <w:rPr>
          <w:i w:val="false"/>
          <w:color w:val="000000"/>
          <w:sz w:val="22"/>
          <w:szCs w:val="22"/>
        </w:rPr>
      </w:r>
    </w:p>
    <w:p>
      <w:pPr>
        <w:pStyle w:val="Normal"/>
        <w:snapToGrid w:val="false"/>
        <w:spacing w:before="0" w:after="0"/>
        <w:jc w:val="both"/>
        <w:rPr>
          <w:i w:val="false"/>
          <w:color w:val="000000"/>
          <w:sz w:val="22"/>
          <w:szCs w:val="22"/>
        </w:rPr>
      </w:pPr>
      <w:r>
        <w:rPr>
          <w:i w:val="false"/>
          <w:color w:val="000000"/>
          <w:sz w:val="22"/>
          <w:szCs w:val="22"/>
        </w:rPr>
      </w:r>
    </w:p>
    <w:p>
      <w:pPr>
        <w:pStyle w:val="Normal"/>
        <w:ind w:hanging="0" w:left="0" w:right="57"/>
        <w:rPr>
          <w:b w:val="false"/>
          <w:i w:val="false"/>
          <w:color w:val="000000"/>
          <w:sz w:val="22"/>
          <w:szCs w:val="22"/>
        </w:rPr>
      </w:pPr>
      <w:r>
        <w:rPr>
          <w:b w:val="false"/>
          <w:i w:val="false"/>
          <w:color w:val="000000"/>
          <w:sz w:val="22"/>
          <w:szCs w:val="22"/>
        </w:rPr>
      </w:r>
    </w:p>
    <w:p>
      <w:pPr>
        <w:pStyle w:val="Normal"/>
        <w:ind w:hanging="0" w:left="0" w:right="57"/>
        <w:rPr>
          <w:b w:val="false"/>
          <w:i w:val="false"/>
          <w:color w:val="000000"/>
          <w:sz w:val="22"/>
          <w:szCs w:val="22"/>
        </w:rPr>
      </w:pPr>
      <w:r>
        <w:rPr>
          <w:b w:val="false"/>
          <w:i w:val="false"/>
          <w:color w:val="000000"/>
          <w:sz w:val="22"/>
          <w:szCs w:val="22"/>
        </w:rPr>
      </w:r>
    </w:p>
    <w:p>
      <w:pPr>
        <w:pStyle w:val="Normal"/>
        <w:ind w:hanging="0" w:left="0" w:right="57"/>
        <w:rPr>
          <w:b w:val="false"/>
          <w:i w:val="false"/>
          <w:color w:val="000000"/>
          <w:sz w:val="22"/>
          <w:szCs w:val="22"/>
        </w:rPr>
      </w:pPr>
      <w:r>
        <w:rPr>
          <w:b w:val="false"/>
          <w:i w:val="false"/>
          <w:color w:val="000000"/>
          <w:sz w:val="22"/>
          <w:szCs w:val="22"/>
        </w:rPr>
      </w:r>
    </w:p>
    <w:p>
      <w:pPr>
        <w:pStyle w:val="Normal"/>
        <w:snapToGrid w:val="false"/>
        <w:spacing w:before="0" w:after="0"/>
        <w:jc w:val="both"/>
        <w:rPr>
          <w:b w:val="false"/>
          <w:i w:val="false"/>
          <w:color w:val="000000"/>
          <w:sz w:val="22"/>
          <w:szCs w:val="22"/>
        </w:rPr>
      </w:pPr>
      <w:r>
        <w:rPr>
          <w:b w:val="false"/>
          <w:i w:val="false"/>
          <w:color w:val="000000"/>
          <w:sz w:val="22"/>
          <w:szCs w:val="22"/>
        </w:rPr>
      </w:r>
    </w:p>
    <w:tbl>
      <w:tblPr>
        <w:tblW w:w="5000" w:type="pct"/>
        <w:jc w:val="left"/>
        <w:tblInd w:w="0" w:type="dxa"/>
        <w:tblLayout w:type="fixed"/>
        <w:tblCellMar>
          <w:top w:w="0" w:type="dxa"/>
          <w:left w:w="0" w:type="dxa"/>
          <w:bottom w:w="0" w:type="dxa"/>
          <w:right w:w="0" w:type="dxa"/>
        </w:tblCellMar>
      </w:tblPr>
      <w:tblGrid>
        <w:gridCol w:w="10772"/>
      </w:tblGrid>
      <w:tr>
        <w:trPr/>
        <w:tc>
          <w:tcPr>
            <w:tcW w:w="10772" w:type="dxa"/>
            <w:tcBorders/>
            <w:shd w:fill="FFFFD7" w:val="clear"/>
          </w:tcPr>
          <w:p>
            <w:pPr>
              <w:pStyle w:val="Normal"/>
              <w:widowControl w:val="false"/>
              <w:snapToGrid w:val="false"/>
              <w:spacing w:before="0" w:after="0"/>
              <w:jc w:val="both"/>
              <w:rPr>
                <w:b w:val="false"/>
                <w:i w:val="false"/>
                <w:color w:val="000000"/>
                <w:sz w:val="22"/>
                <w:szCs w:val="22"/>
              </w:rPr>
            </w:pPr>
            <w:r>
              <w:drawing>
                <wp:anchor behindDoc="0" distT="0" distB="0" distL="0" distR="0" simplePos="0" locked="0" layoutInCell="1" allowOverlap="1" relativeHeight="3">
                  <wp:simplePos x="0" y="0"/>
                  <wp:positionH relativeFrom="column">
                    <wp:posOffset>133985</wp:posOffset>
                  </wp:positionH>
                  <wp:positionV relativeFrom="paragraph">
                    <wp:posOffset>7620</wp:posOffset>
                  </wp:positionV>
                  <wp:extent cx="337820" cy="307975"/>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3"/>
                          <a:srcRect l="-20" t="-22" r="-20" b="-22"/>
                          <a:stretch>
                            <a:fillRect/>
                          </a:stretch>
                        </pic:blipFill>
                        <pic:spPr bwMode="auto">
                          <a:xfrm>
                            <a:off x="0" y="0"/>
                            <a:ext cx="337820" cy="307975"/>
                          </a:xfrm>
                          <a:prstGeom prst="rect">
                            <a:avLst/>
                          </a:prstGeom>
                          <a:noFill/>
                        </pic:spPr>
                      </pic:pic>
                    </a:graphicData>
                  </a:graphic>
                </wp:anchor>
              </w:drawing>
            </w:r>
            <w:r>
              <w:rPr>
                <w:b w:val="false"/>
                <w:i w:val="false"/>
                <w:color w:val="000000"/>
                <w:sz w:val="22"/>
                <w:szCs w:val="22"/>
              </w:rPr>
              <w:t>Le présent document constitue la proposition technique du candidat. À ce titre, elle doit obligatoirement être renseignée en respectant scrupuleusement les cadres de réponse. A savoir :</w:t>
            </w:r>
          </w:p>
          <w:p>
            <w:pPr>
              <w:pStyle w:val="Normal"/>
              <w:widowControl w:val="false"/>
              <w:snapToGrid w:val="false"/>
              <w:spacing w:before="0" w:after="0"/>
              <w:jc w:val="both"/>
              <w:rPr>
                <w:b w:val="false"/>
                <w:i w:val="false"/>
                <w:color w:val="000000"/>
                <w:sz w:val="22"/>
                <w:szCs w:val="22"/>
              </w:rPr>
            </w:pPr>
            <w:r>
              <w:rPr>
                <w:b w:val="false"/>
                <w:i w:val="false"/>
                <w:color w:val="000000"/>
                <w:sz w:val="22"/>
                <w:szCs w:val="22"/>
              </w:rPr>
              <w:t>→</w:t>
            </w:r>
            <w:r>
              <w:rPr>
                <w:rFonts w:eastAsia="Liberation Serif;Times New Roman" w:cs="Liberation Serif;Times New Roman"/>
                <w:b w:val="false"/>
                <w:i w:val="false"/>
                <w:color w:val="000000"/>
                <w:sz w:val="22"/>
                <w:szCs w:val="22"/>
              </w:rPr>
              <w:t xml:space="preserve"> </w:t>
            </w:r>
            <w:r>
              <w:rPr>
                <w:b w:val="false"/>
                <w:i w:val="false"/>
                <w:color w:val="000000"/>
                <w:sz w:val="22"/>
                <w:szCs w:val="22"/>
              </w:rPr>
              <w:t xml:space="preserve">Nombre de pages maximum du présent cadre de réponse technique  : </w:t>
            </w:r>
            <w:r>
              <w:rPr>
                <w:b/>
                <w:bCs/>
                <w:i w:val="false"/>
                <w:color w:val="000000"/>
                <w:sz w:val="22"/>
                <w:szCs w:val="22"/>
              </w:rPr>
              <w:t>10</w:t>
            </w:r>
            <w:r>
              <w:rPr>
                <w:b w:val="false"/>
                <w:i w:val="false"/>
                <w:color w:val="000000"/>
                <w:sz w:val="22"/>
                <w:szCs w:val="22"/>
              </w:rPr>
              <w:t xml:space="preserve"> (hors les 2 premières pages de présentation)</w:t>
            </w:r>
          </w:p>
          <w:p>
            <w:pPr>
              <w:pStyle w:val="Normal"/>
              <w:widowControl w:val="false"/>
              <w:snapToGrid w:val="false"/>
              <w:spacing w:before="0" w:after="0"/>
              <w:jc w:val="both"/>
              <w:rPr>
                <w:b w:val="false"/>
                <w:i w:val="false"/>
                <w:color w:val="000000"/>
                <w:sz w:val="22"/>
                <w:szCs w:val="22"/>
              </w:rPr>
            </w:pPr>
            <w:r>
              <w:rPr>
                <w:b w:val="false"/>
                <w:i w:val="false"/>
                <w:color w:val="000000"/>
                <w:sz w:val="22"/>
                <w:szCs w:val="22"/>
              </w:rPr>
              <w:t>→</w:t>
            </w:r>
            <w:r>
              <w:rPr>
                <w:rFonts w:eastAsia="Liberation Serif;Times New Roman" w:cs="Liberation Serif;Times New Roman"/>
                <w:b w:val="false"/>
                <w:i w:val="false"/>
                <w:color w:val="000000"/>
                <w:sz w:val="22"/>
                <w:szCs w:val="22"/>
              </w:rPr>
              <w:t xml:space="preserve"> </w:t>
            </w:r>
            <w:r>
              <w:rPr>
                <w:b w:val="false"/>
                <w:i w:val="false"/>
                <w:color w:val="000000"/>
                <w:sz w:val="22"/>
                <w:szCs w:val="22"/>
              </w:rPr>
              <w:t xml:space="preserve">Police :  </w:t>
            </w:r>
            <w:r>
              <w:rPr>
                <w:b/>
                <w:bCs/>
                <w:i w:val="false"/>
                <w:color w:val="000000"/>
                <w:sz w:val="22"/>
                <w:szCs w:val="22"/>
              </w:rPr>
              <w:t>Libération Serif - taille 11,</w:t>
            </w:r>
          </w:p>
          <w:p>
            <w:pPr>
              <w:pStyle w:val="Normal"/>
              <w:widowControl w:val="false"/>
              <w:snapToGrid w:val="false"/>
              <w:spacing w:before="0" w:after="0"/>
              <w:jc w:val="both"/>
              <w:rPr>
                <w:sz w:val="22"/>
                <w:szCs w:val="22"/>
              </w:rPr>
            </w:pPr>
            <w:r>
              <w:rPr>
                <w:b w:val="false"/>
                <w:i w:val="false"/>
                <w:color w:val="000000"/>
                <w:sz w:val="22"/>
                <w:szCs w:val="22"/>
              </w:rPr>
              <w:t>→</w:t>
            </w:r>
            <w:r>
              <w:rPr>
                <w:rFonts w:eastAsia="Liberation Serif;Times New Roman" w:cs="Liberation Serif;Times New Roman"/>
                <w:b w:val="false"/>
                <w:i w:val="false"/>
                <w:color w:val="000000"/>
                <w:sz w:val="22"/>
                <w:szCs w:val="22"/>
              </w:rPr>
              <w:t xml:space="preserve"> </w:t>
            </w:r>
            <w:r>
              <w:rPr>
                <w:b w:val="false"/>
                <w:i w:val="false"/>
                <w:color w:val="000000"/>
                <w:sz w:val="22"/>
                <w:szCs w:val="22"/>
              </w:rPr>
              <w:t xml:space="preserve">Interligne ; </w:t>
            </w:r>
            <w:r>
              <w:rPr>
                <w:b/>
                <w:bCs/>
                <w:i w:val="false"/>
                <w:color w:val="000000"/>
                <w:sz w:val="22"/>
                <w:szCs w:val="22"/>
              </w:rPr>
              <w:t>Simple.</w:t>
            </w:r>
          </w:p>
          <w:p>
            <w:pPr>
              <w:pStyle w:val="Normal"/>
              <w:widowControl w:val="false"/>
              <w:snapToGrid w:val="false"/>
              <w:spacing w:before="0" w:after="0"/>
              <w:jc w:val="both"/>
              <w:rPr>
                <w:sz w:val="22"/>
                <w:szCs w:val="22"/>
              </w:rPr>
            </w:pPr>
            <w:r>
              <w:rPr>
                <w:sz w:val="22"/>
                <w:szCs w:val="22"/>
              </w:rPr>
            </w:r>
          </w:p>
          <w:p>
            <w:pPr>
              <w:pStyle w:val="Normal"/>
              <w:widowControl w:val="false"/>
              <w:snapToGrid w:val="false"/>
              <w:spacing w:before="0" w:after="0"/>
              <w:jc w:val="both"/>
              <w:rPr>
                <w:b w:val="false"/>
                <w:i w:val="false"/>
                <w:color w:val="000000"/>
                <w:sz w:val="22"/>
                <w:szCs w:val="22"/>
              </w:rPr>
            </w:pPr>
            <w:r>
              <w:rPr>
                <w:b w:val="false"/>
                <w:i w:val="false"/>
                <w:color w:val="000000"/>
                <w:sz w:val="22"/>
                <w:szCs w:val="22"/>
              </w:rPr>
              <w:t>Aucune modification sur le fond et sur la forme n’est tolérée. Aucune page supplémentaire, aucun renvoi ou autre pièce jointe ne sera pris en considération par le pouvoir adjudicateur et analysé.</w:t>
            </w:r>
          </w:p>
          <w:p>
            <w:pPr>
              <w:pStyle w:val="Normal"/>
              <w:widowControl w:val="false"/>
              <w:snapToGrid w:val="false"/>
              <w:spacing w:before="0" w:after="0"/>
              <w:jc w:val="both"/>
              <w:rPr>
                <w:sz w:val="22"/>
                <w:szCs w:val="22"/>
              </w:rPr>
            </w:pPr>
            <w:r>
              <w:rPr>
                <w:b w:val="false"/>
                <w:i w:val="false"/>
                <w:color w:val="000000"/>
                <w:sz w:val="22"/>
                <w:szCs w:val="22"/>
              </w:rPr>
              <w:t>Cette proposition technique doit être jointe à l’offre, sous peine de rejet de l’offre.</w:t>
            </w:r>
          </w:p>
          <w:p>
            <w:pPr>
              <w:pStyle w:val="Normal"/>
              <w:widowControl w:val="false"/>
              <w:snapToGrid w:val="false"/>
              <w:spacing w:before="0" w:after="0"/>
              <w:jc w:val="center"/>
              <w:rPr>
                <w:sz w:val="22"/>
                <w:szCs w:val="22"/>
              </w:rPr>
            </w:pPr>
            <w:r>
              <w:rPr>
                <w:sz w:val="22"/>
                <w:szCs w:val="22"/>
              </w:rPr>
            </w:r>
          </w:p>
        </w:tc>
      </w:tr>
    </w:tbl>
    <w:p>
      <w:p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567" w:right="567" w:gutter="0" w:header="567" w:top="1092" w:footer="567" w:bottom="1162"/>
          <w:pgNumType w:fmt="decimal"/>
          <w:formProt w:val="false"/>
          <w:textDirection w:val="lrTb"/>
          <w:docGrid w:type="default" w:linePitch="312" w:charSpace="0"/>
        </w:sectPr>
      </w:pP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sz w:val="12"/>
          <w:szCs w:val="12"/>
        </w:rPr>
      </w:pPr>
      <w:r>
        <w:rPr>
          <w:rFonts w:cs="Times New Roman"/>
          <w:b/>
          <w:bCs/>
          <w:i w:val="false"/>
          <w:iCs w:val="false"/>
          <w:strike w:val="false"/>
          <w:dstrike w:val="false"/>
          <w:outline w:val="false"/>
          <w:shadow w:val="false"/>
          <w:color w:val="FFFFD7"/>
          <w:sz w:val="22"/>
          <w:szCs w:val="22"/>
          <w:u w:val="none"/>
          <w:shd w:fill="auto" w:val="clear"/>
        </w:rPr>
        <w:t xml:space="preserve">CQ 1 : </w:t>
      </w:r>
      <w:r>
        <w:rPr>
          <w:rFonts w:cs="Times New Roman"/>
          <w:b/>
          <w:bCs/>
          <w:i w:val="false"/>
          <w:iCs w:val="false"/>
          <w:strike w:val="false"/>
          <w:dstrike w:val="false"/>
          <w:outline w:val="false"/>
          <w:shadow w:val="false"/>
          <w:color w:val="FFFFD7"/>
          <w:kern w:val="2"/>
          <w:sz w:val="22"/>
          <w:szCs w:val="22"/>
          <w:u w:val="none"/>
          <w:shd w:fill="auto" w:val="clear"/>
          <w:em w:val="none"/>
        </w:rPr>
        <w:t xml:space="preserve"> La gestion et tri des déchets </w:t>
      </w:r>
      <w:r>
        <w:rPr>
          <w:rFonts w:cs="Times New Roman"/>
          <w:b/>
          <w:bCs/>
          <w:i w:val="false"/>
          <w:iCs w:val="false"/>
          <w:strike w:val="false"/>
          <w:dstrike w:val="false"/>
          <w:outline w:val="false"/>
          <w:shadow w:val="false"/>
          <w:color w:val="FFFFD7"/>
          <w:sz w:val="22"/>
          <w:szCs w:val="22"/>
          <w:u w:val="none"/>
          <w:shd w:fill="auto" w:val="clear"/>
        </w:rPr>
        <w:t xml:space="preserve"> →  Coefficient 3</w:t>
      </w:r>
    </w:p>
    <w:p>
      <w:pPr>
        <w:pStyle w:val="Normal"/>
        <w:snapToGrid w:val="false"/>
        <w:spacing w:lineRule="auto" w:line="240" w:before="0" w:after="0"/>
        <w:ind w:hanging="0" w:left="0" w:right="0"/>
        <w:contextualSpacing/>
        <w:jc w:val="left"/>
        <w:rPr>
          <w:sz w:val="12"/>
          <w:szCs w:val="12"/>
        </w:rPr>
      </w:pPr>
      <w:r>
        <w:rPr>
          <w:sz w:val="12"/>
          <w:szCs w:val="12"/>
        </w:rPr>
      </w:r>
    </w:p>
    <w:tbl>
      <w:tblPr>
        <w:tblW w:w="16061" w:type="dxa"/>
        <w:jc w:val="left"/>
        <w:tblInd w:w="-276" w:type="dxa"/>
        <w:tblLayout w:type="fixed"/>
        <w:tblCellMar>
          <w:top w:w="28" w:type="dxa"/>
          <w:left w:w="28" w:type="dxa"/>
          <w:bottom w:w="28" w:type="dxa"/>
          <w:right w:w="28" w:type="dxa"/>
        </w:tblCellMar>
      </w:tblPr>
      <w:tblGrid>
        <w:gridCol w:w="16061"/>
      </w:tblGrid>
      <w:tr>
        <w:trPr/>
        <w:tc>
          <w:tcPr>
            <w:tcW w:w="16061" w:type="dxa"/>
            <w:tcBorders>
              <w:top w:val="single" w:sz="2" w:space="0" w:color="000000"/>
              <w:left w:val="single" w:sz="2" w:space="0" w:color="000000"/>
              <w:bottom w:val="single" w:sz="2" w:space="0" w:color="000000"/>
              <w:right w:val="single" w:sz="2" w:space="0" w:color="000000"/>
            </w:tcBorders>
            <w:shd w:fill="729FCF" w:val="clear"/>
          </w:tcPr>
          <w:p>
            <w:pPr>
              <w:pStyle w:val="Contenudetableauuser"/>
              <w:widowControl w:val="false"/>
              <w:jc w:val="center"/>
              <w:rPr>
                <w:b/>
                <w:bCs/>
                <w:sz w:val="22"/>
                <w:szCs w:val="22"/>
              </w:rPr>
            </w:pPr>
            <w:r>
              <w:rPr>
                <w:b/>
                <w:bCs/>
                <w:sz w:val="22"/>
                <w:szCs w:val="22"/>
              </w:rPr>
              <w:t>Description</w:t>
            </w:r>
          </w:p>
        </w:tc>
      </w:tr>
      <w:tr>
        <w:trPr>
          <w:trHeight w:val="2149" w:hRule="atLeast"/>
        </w:trPr>
        <w:tc>
          <w:tcPr>
            <w:tcW w:w="16061" w:type="dxa"/>
            <w:tcBorders>
              <w:left w:val="single" w:sz="2" w:space="0" w:color="000000"/>
              <w:bottom w:val="single" w:sz="2" w:space="0" w:color="000000"/>
              <w:right w:val="single" w:sz="2" w:space="0" w:color="000000"/>
            </w:tcBorders>
            <w:vAlign w:val="center"/>
          </w:tcPr>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tc>
      </w:tr>
    </w:tbl>
    <w:p>
      <w:pPr>
        <w:sectPr>
          <w:headerReference w:type="even" r:id="rId10"/>
          <w:headerReference w:type="default" r:id="rId11"/>
          <w:headerReference w:type="first" r:id="rId12"/>
          <w:footerReference w:type="even" r:id="rId13"/>
          <w:footerReference w:type="default" r:id="rId14"/>
          <w:footerReference w:type="first" r:id="rId15"/>
          <w:type w:val="nextPage"/>
          <w:pgSz w:orient="landscape" w:w="16838" w:h="11906"/>
          <w:pgMar w:left="567" w:right="567" w:gutter="0" w:header="0" w:top="567" w:footer="454" w:bottom="992"/>
          <w:pgNumType w:fmt="decimal"/>
          <w:formProt w:val="false"/>
          <w:textDirection w:val="lrTb"/>
          <w:docGrid w:type="default" w:linePitch="100" w:charSpace="0"/>
        </w:sectPr>
      </w:pP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FFFFD7"/>
          <w:kern w:val="2"/>
          <w:sz w:val="22"/>
          <w:szCs w:val="22"/>
          <w:u w:val="none"/>
          <w:shd w:fill="auto" w:val="clear"/>
          <w:em w:val="none"/>
        </w:rPr>
        <w:t>CQ 2 </w:t>
      </w:r>
      <w:r>
        <w:rPr>
          <w:rFonts w:cs="Times New Roman"/>
          <w:b w:val="false"/>
          <w:bCs/>
          <w:i w:val="false"/>
          <w:iCs w:val="false"/>
          <w:strike w:val="false"/>
          <w:dstrike w:val="false"/>
          <w:outline w:val="false"/>
          <w:shadow w:val="false"/>
          <w:color w:val="FFFFD7"/>
          <w:kern w:val="2"/>
          <w:sz w:val="22"/>
          <w:szCs w:val="22"/>
          <w:u w:val="none"/>
          <w:shd w:fill="auto" w:val="clear"/>
          <w:em w:val="none"/>
        </w:rPr>
        <w:t xml:space="preserve">: </w:t>
      </w:r>
      <w:r>
        <w:rPr>
          <w:rFonts w:cs="Times New Roman"/>
          <w:b/>
          <w:bCs/>
          <w:i w:val="false"/>
          <w:iCs w:val="false"/>
          <w:strike w:val="false"/>
          <w:dstrike w:val="false"/>
          <w:outline w:val="false"/>
          <w:shadow w:val="false"/>
          <w:color w:val="FFFFD7"/>
          <w:kern w:val="2"/>
          <w:sz w:val="22"/>
          <w:szCs w:val="22"/>
          <w:u w:val="none"/>
          <w:shd w:fill="auto" w:val="clear"/>
          <w:em w:val="none"/>
        </w:rPr>
        <w:t>Filières de recyclage des équipements déposés</w:t>
      </w:r>
      <w:r>
        <w:rPr>
          <w:rFonts w:cs="Times New Roman"/>
          <w:b/>
          <w:bCs/>
          <w:i w:val="false"/>
          <w:iCs w:val="false"/>
          <w:strike w:val="false"/>
          <w:dstrike w:val="false"/>
          <w:outline w:val="false"/>
          <w:shadow w:val="false"/>
          <w:color w:val="FFFFD7"/>
          <w:sz w:val="22"/>
          <w:szCs w:val="22"/>
          <w:u w:val="none"/>
          <w:shd w:fill="auto" w:val="clear"/>
        </w:rPr>
        <w:t xml:space="preserve">  →  Coefficient 3</w:t>
      </w:r>
    </w:p>
    <w:p>
      <w:pPr>
        <w:pStyle w:val="Normal"/>
        <w:snapToGrid w:val="false"/>
        <w:spacing w:lineRule="auto" w:line="240" w:before="0" w:after="0"/>
        <w:ind w:hanging="0" w:left="0" w:right="0"/>
        <w:contextualSpacing/>
        <w:jc w:val="left"/>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000000"/>
          <w:sz w:val="12"/>
          <w:szCs w:val="12"/>
          <w:u w:val="none"/>
        </w:rPr>
      </w:r>
    </w:p>
    <w:tbl>
      <w:tblPr>
        <w:tblW w:w="15695" w:type="dxa"/>
        <w:jc w:val="left"/>
        <w:tblInd w:w="86" w:type="dxa"/>
        <w:tblLayout w:type="fixed"/>
        <w:tblCellMar>
          <w:top w:w="28" w:type="dxa"/>
          <w:left w:w="28" w:type="dxa"/>
          <w:bottom w:w="28" w:type="dxa"/>
          <w:right w:w="28" w:type="dxa"/>
        </w:tblCellMar>
      </w:tblPr>
      <w:tblGrid>
        <w:gridCol w:w="15695"/>
      </w:tblGrid>
      <w:tr>
        <w:trPr/>
        <w:tc>
          <w:tcPr>
            <w:tcW w:w="15695" w:type="dxa"/>
            <w:tcBorders>
              <w:top w:val="single" w:sz="2" w:space="0" w:color="000000"/>
              <w:left w:val="single" w:sz="2" w:space="0" w:color="000000"/>
              <w:bottom w:val="single" w:sz="2" w:space="0" w:color="000000"/>
              <w:right w:val="single" w:sz="2" w:space="0" w:color="000000"/>
            </w:tcBorders>
            <w:shd w:fill="729FCF" w:val="clear"/>
          </w:tcPr>
          <w:p>
            <w:pPr>
              <w:pStyle w:val="Contenudetableauuser"/>
              <w:widowControl w:val="false"/>
              <w:jc w:val="center"/>
              <w:rPr>
                <w:b/>
                <w:bCs/>
                <w:sz w:val="22"/>
                <w:szCs w:val="22"/>
              </w:rPr>
            </w:pPr>
            <w:r>
              <w:rPr>
                <w:rFonts w:eastAsia="SimSun" w:cs="Mangal"/>
                <w:b/>
                <w:bCs/>
                <w:color w:val="auto"/>
                <w:kern w:val="2"/>
                <w:sz w:val="22"/>
                <w:szCs w:val="22"/>
                <w:lang w:val="fr-FR" w:eastAsia="zh-CN" w:bidi="hi-IN"/>
              </w:rPr>
              <w:t>Description</w:t>
            </w:r>
          </w:p>
        </w:tc>
      </w:tr>
      <w:tr>
        <w:trPr>
          <w:trHeight w:val="2086" w:hRule="atLeast"/>
        </w:trPr>
        <w:tc>
          <w:tcPr>
            <w:tcW w:w="15695" w:type="dxa"/>
            <w:tcBorders>
              <w:left w:val="single" w:sz="2" w:space="0" w:color="000000"/>
              <w:bottom w:val="single" w:sz="2" w:space="0" w:color="000000"/>
              <w:right w:val="single" w:sz="2" w:space="0" w:color="000000"/>
            </w:tcBorders>
            <w:vAlign w:val="center"/>
          </w:tcPr>
          <w:p>
            <w:pPr>
              <w:pStyle w:val="Normal"/>
              <w:widowControl/>
              <w:tabs>
                <w:tab w:val="clear" w:pos="709"/>
                <w:tab w:val="left" w:pos="851" w:leader="none"/>
                <w:tab w:val="left" w:pos="1418" w:leader="none"/>
                <w:tab w:val="left" w:pos="6521" w:leader="none"/>
                <w:tab w:val="left" w:pos="7088" w:leader="none"/>
                <w:tab w:val="left" w:pos="7797" w:leader="none"/>
                <w:tab w:val="left" w:pos="8364" w:leader="none"/>
              </w:tabs>
              <w:suppressAutoHyphens w:val="true"/>
              <w:overflowPunct w:val="true"/>
              <w:bidi w:val="0"/>
              <w:snapToGrid w:val="false"/>
              <w:spacing w:before="0" w:after="0"/>
              <w:ind w:hanging="0" w:left="0" w:right="0"/>
              <w:jc w:val="both"/>
              <w:rPr>
                <w:sz w:val="22"/>
                <w:szCs w:val="22"/>
              </w:rPr>
            </w:pPr>
            <w:r>
              <w:rPr>
                <w:sz w:val="22"/>
                <w:szCs w:val="22"/>
              </w:rPr>
            </w:r>
          </w:p>
          <w:p>
            <w:pPr>
              <w:pStyle w:val="Normal"/>
              <w:widowControl/>
              <w:tabs>
                <w:tab w:val="clear" w:pos="709"/>
                <w:tab w:val="left" w:pos="851" w:leader="none"/>
                <w:tab w:val="left" w:pos="1418" w:leader="none"/>
                <w:tab w:val="left" w:pos="6521" w:leader="none"/>
                <w:tab w:val="left" w:pos="7088" w:leader="none"/>
                <w:tab w:val="left" w:pos="7797" w:leader="none"/>
                <w:tab w:val="left" w:pos="8364" w:leader="none"/>
              </w:tabs>
              <w:suppressAutoHyphens w:val="true"/>
              <w:overflowPunct w:val="true"/>
              <w:bidi w:val="0"/>
              <w:snapToGrid w:val="false"/>
              <w:spacing w:before="0" w:after="0"/>
              <w:ind w:hanging="0" w:left="0" w:right="0"/>
              <w:jc w:val="both"/>
              <w:rPr>
                <w:sz w:val="22"/>
                <w:szCs w:val="22"/>
              </w:rPr>
            </w:pPr>
            <w:r>
              <w:rPr>
                <w:sz w:val="22"/>
                <w:szCs w:val="22"/>
              </w:rPr>
            </w:r>
          </w:p>
          <w:p>
            <w:pPr>
              <w:pStyle w:val="Normal"/>
              <w:widowControl/>
              <w:tabs>
                <w:tab w:val="clear" w:pos="709"/>
                <w:tab w:val="left" w:pos="851" w:leader="none"/>
                <w:tab w:val="left" w:pos="1418" w:leader="none"/>
                <w:tab w:val="left" w:pos="6521" w:leader="none"/>
                <w:tab w:val="left" w:pos="7088" w:leader="none"/>
                <w:tab w:val="left" w:pos="7797" w:leader="none"/>
                <w:tab w:val="left" w:pos="8364" w:leader="none"/>
              </w:tabs>
              <w:suppressAutoHyphens w:val="true"/>
              <w:overflowPunct w:val="true"/>
              <w:bidi w:val="0"/>
              <w:snapToGrid w:val="false"/>
              <w:spacing w:before="0" w:after="0"/>
              <w:ind w:hanging="0" w:left="0" w:right="0"/>
              <w:jc w:val="both"/>
              <w:rPr>
                <w:sz w:val="22"/>
                <w:szCs w:val="22"/>
              </w:rPr>
            </w:pPr>
            <w:r>
              <w:rPr>
                <w:sz w:val="22"/>
                <w:szCs w:val="22"/>
              </w:rPr>
            </w:r>
          </w:p>
          <w:p>
            <w:pPr>
              <w:pStyle w:val="Normal"/>
              <w:widowControl/>
              <w:tabs>
                <w:tab w:val="clear" w:pos="709"/>
                <w:tab w:val="left" w:pos="851" w:leader="none"/>
                <w:tab w:val="left" w:pos="1418" w:leader="none"/>
                <w:tab w:val="left" w:pos="6521" w:leader="none"/>
                <w:tab w:val="left" w:pos="7088" w:leader="none"/>
                <w:tab w:val="left" w:pos="7797" w:leader="none"/>
                <w:tab w:val="left" w:pos="8364" w:leader="none"/>
              </w:tabs>
              <w:suppressAutoHyphens w:val="true"/>
              <w:overflowPunct w:val="true"/>
              <w:bidi w:val="0"/>
              <w:snapToGrid w:val="false"/>
              <w:spacing w:before="0" w:after="0"/>
              <w:ind w:hanging="0" w:left="0" w:right="0"/>
              <w:jc w:val="both"/>
              <w:rPr>
                <w:sz w:val="22"/>
                <w:szCs w:val="22"/>
              </w:rPr>
            </w:pPr>
            <w:r>
              <w:rPr>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tc>
      </w:tr>
    </w:tbl>
    <w:p>
      <w:pPr>
        <w:sectPr>
          <w:headerReference w:type="even" r:id="rId16"/>
          <w:headerReference w:type="default" r:id="rId17"/>
          <w:headerReference w:type="first" r:id="rId18"/>
          <w:footerReference w:type="even" r:id="rId19"/>
          <w:footerReference w:type="default" r:id="rId20"/>
          <w:footerReference w:type="first" r:id="rId21"/>
          <w:type w:val="nextPage"/>
          <w:pgSz w:orient="landscape" w:w="16838" w:h="11906"/>
          <w:pgMar w:left="567" w:right="567" w:gutter="0" w:header="0" w:top="567" w:footer="454" w:bottom="992"/>
          <w:pgNumType w:fmt="decimal"/>
          <w:formProt w:val="false"/>
          <w:textDirection w:val="lrTb"/>
          <w:docGrid w:type="default" w:linePitch="100" w:charSpace="0"/>
        </w:sectPr>
      </w:pP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FFFFD7"/>
          <w:sz w:val="22"/>
          <w:szCs w:val="22"/>
          <w:u w:val="none"/>
          <w:shd w:fill="auto" w:val="clear"/>
        </w:rPr>
        <w:t xml:space="preserve">CQ 3 : </w:t>
      </w:r>
      <w:r>
        <w:rPr>
          <w:rFonts w:eastAsia="SimSun" w:cs="Times New Roman"/>
          <w:b/>
          <w:bCs/>
          <w:i w:val="false"/>
          <w:iCs w:val="false"/>
          <w:strike w:val="false"/>
          <w:dstrike w:val="false"/>
          <w:outline w:val="false"/>
          <w:shadow w:val="false"/>
          <w:color w:val="FFFFD7"/>
          <w:kern w:val="2"/>
          <w:sz w:val="22"/>
          <w:szCs w:val="22"/>
          <w:u w:val="none"/>
          <w:shd w:fill="auto" w:val="clear"/>
          <w:em w:val="none"/>
          <w:lang w:val="fr-FR" w:eastAsia="zh-CN" w:bidi="hi-IN"/>
        </w:rPr>
        <w:t>Limitation des consommations et des pollutions</w:t>
      </w:r>
      <w:r>
        <w:rPr>
          <w:rFonts w:cs="Times New Roman"/>
          <w:b/>
          <w:bCs/>
          <w:i w:val="false"/>
          <w:iCs w:val="false"/>
          <w:strike w:val="false"/>
          <w:dstrike w:val="false"/>
          <w:outline w:val="false"/>
          <w:shadow w:val="false"/>
          <w:color w:val="FFFFD7"/>
          <w:sz w:val="22"/>
          <w:szCs w:val="22"/>
          <w:u w:val="none"/>
          <w:shd w:fill="auto" w:val="clear"/>
        </w:rPr>
        <w:t>→ Coefficient 2</w:t>
      </w:r>
    </w:p>
    <w:p>
      <w:pPr>
        <w:pStyle w:val="Normal"/>
        <w:snapToGrid w:val="false"/>
        <w:spacing w:lineRule="auto" w:line="240" w:before="0" w:after="0"/>
        <w:ind w:hanging="0" w:left="0" w:right="0"/>
        <w:contextualSpacing/>
        <w:jc w:val="left"/>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000000"/>
          <w:sz w:val="12"/>
          <w:szCs w:val="12"/>
          <w:u w:val="none"/>
        </w:rPr>
      </w:r>
    </w:p>
    <w:tbl>
      <w:tblPr>
        <w:tblW w:w="15705" w:type="dxa"/>
        <w:jc w:val="left"/>
        <w:tblInd w:w="86" w:type="dxa"/>
        <w:tblLayout w:type="fixed"/>
        <w:tblCellMar>
          <w:top w:w="28" w:type="dxa"/>
          <w:left w:w="28" w:type="dxa"/>
          <w:bottom w:w="28" w:type="dxa"/>
          <w:right w:w="28" w:type="dxa"/>
        </w:tblCellMar>
      </w:tblPr>
      <w:tblGrid>
        <w:gridCol w:w="15705"/>
      </w:tblGrid>
      <w:tr>
        <w:trPr/>
        <w:tc>
          <w:tcPr>
            <w:tcW w:w="15705" w:type="dxa"/>
            <w:tcBorders>
              <w:top w:val="single" w:sz="2" w:space="0" w:color="000000"/>
              <w:left w:val="single" w:sz="2" w:space="0" w:color="000000"/>
              <w:bottom w:val="single" w:sz="2" w:space="0" w:color="000000"/>
              <w:right w:val="single" w:sz="2" w:space="0" w:color="000000"/>
            </w:tcBorders>
            <w:shd w:fill="729FCF" w:val="clear"/>
          </w:tcPr>
          <w:p>
            <w:pPr>
              <w:pStyle w:val="Contenudetableauuser"/>
              <w:widowControl w:val="false"/>
              <w:jc w:val="center"/>
              <w:rPr>
                <w:b/>
                <w:bCs/>
                <w:sz w:val="22"/>
                <w:szCs w:val="22"/>
              </w:rPr>
            </w:pPr>
            <w:r>
              <w:rPr>
                <w:b/>
                <w:bCs/>
                <w:sz w:val="22"/>
                <w:szCs w:val="22"/>
              </w:rPr>
              <w:t>Description</w:t>
            </w:r>
          </w:p>
        </w:tc>
      </w:tr>
      <w:tr>
        <w:trPr>
          <w:trHeight w:val="2324" w:hRule="atLeast"/>
        </w:trPr>
        <w:tc>
          <w:tcPr>
            <w:tcW w:w="15705" w:type="dxa"/>
            <w:tcBorders>
              <w:left w:val="single" w:sz="2" w:space="0" w:color="000000"/>
              <w:bottom w:val="single" w:sz="2" w:space="0" w:color="000000"/>
              <w:right w:val="single" w:sz="2" w:space="0" w:color="000000"/>
            </w:tcBorders>
            <w:vAlign w:val="center"/>
          </w:tcPr>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ind w:hanging="0" w:left="0" w:right="57"/>
              <w:rPr/>
            </w:pPr>
            <w:r>
              <w:rPr/>
            </w:r>
          </w:p>
          <w:p>
            <w:pPr>
              <w:pStyle w:val="Normal"/>
              <w:rPr>
                <w:sz w:val="22"/>
                <w:szCs w:val="22"/>
              </w:rPr>
            </w:pPr>
            <w:r>
              <w:rPr>
                <w:sz w:val="22"/>
                <w:szCs w:val="22"/>
              </w:rPr>
            </w:r>
          </w:p>
          <w:p>
            <w:pPr>
              <w:pStyle w:val="Contenudetableauuser"/>
              <w:widowControl w:val="false"/>
              <w:jc w:val="both"/>
              <w:rPr>
                <w:sz w:val="22"/>
                <w:szCs w:val="22"/>
              </w:rPr>
            </w:pPr>
            <w:r>
              <w:rPr>
                <w:sz w:val="22"/>
                <w:szCs w:val="22"/>
              </w:rPr>
            </w:r>
          </w:p>
          <w:p>
            <w:pPr>
              <w:pStyle w:val="Contenudetableauuser"/>
              <w:widowControl w:val="false"/>
              <w:jc w:val="both"/>
              <w:rPr>
                <w:sz w:val="22"/>
                <w:szCs w:val="22"/>
              </w:rPr>
            </w:pPr>
            <w:r>
              <w:rPr>
                <w:sz w:val="22"/>
                <w:szCs w:val="22"/>
              </w:rPr>
            </w:r>
          </w:p>
          <w:p>
            <w:pPr>
              <w:pStyle w:val="Contenudetableauuser"/>
              <w:widowControl w:val="false"/>
              <w:ind w:hanging="0" w:left="0" w:right="57"/>
              <w:jc w:val="both"/>
              <w:rPr>
                <w:sz w:val="22"/>
                <w:szCs w:val="22"/>
              </w:rPr>
            </w:pPr>
            <w:r>
              <w:rPr>
                <w:sz w:val="22"/>
                <w:szCs w:val="22"/>
              </w:rPr>
            </w:r>
          </w:p>
        </w:tc>
      </w:tr>
    </w:tbl>
    <w:p>
      <w:pPr>
        <w:pStyle w:val="Normal"/>
        <w:rPr>
          <w:sz w:val="22"/>
          <w:szCs w:val="22"/>
        </w:rPr>
      </w:pPr>
      <w:r>
        <w:rPr>
          <w:sz w:val="22"/>
          <w:szCs w:val="22"/>
        </w:rPr>
      </w: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FFFFD7"/>
          <w:sz w:val="22"/>
          <w:szCs w:val="22"/>
          <w:u w:val="none"/>
        </w:rPr>
        <w:t>CQ 4 : Mesures de protection de l’environnement immédiat</w:t>
      </w:r>
      <w:r>
        <w:rPr>
          <w:rFonts w:cs="Times New Roman"/>
          <w:b/>
          <w:bCs/>
          <w:i w:val="false"/>
          <w:iCs w:val="false"/>
          <w:strike w:val="false"/>
          <w:dstrike w:val="false"/>
          <w:outline w:val="false"/>
          <w:shadow w:val="false"/>
          <w:color w:val="FFFFD7"/>
          <w:kern w:val="2"/>
          <w:sz w:val="22"/>
          <w:szCs w:val="22"/>
          <w:u w:val="none"/>
          <w:shd w:fill="auto" w:val="clear"/>
          <w:em w:val="none"/>
        </w:rPr>
        <w:t xml:space="preserve"> </w:t>
      </w:r>
      <w:r>
        <w:rPr>
          <w:rFonts w:cs="Times New Roman"/>
          <w:b/>
          <w:bCs/>
          <w:i w:val="false"/>
          <w:iCs w:val="false"/>
          <w:strike w:val="false"/>
          <w:dstrike w:val="false"/>
          <w:outline w:val="false"/>
          <w:shadow w:val="false"/>
          <w:color w:val="FFFFD7"/>
          <w:sz w:val="22"/>
          <w:szCs w:val="22"/>
          <w:u w:val="none"/>
        </w:rPr>
        <w:t xml:space="preserve"> → Coefficient 1</w:t>
      </w:r>
    </w:p>
    <w:p>
      <w:pPr>
        <w:pStyle w:val="Normal"/>
        <w:snapToGrid w:val="false"/>
        <w:spacing w:lineRule="auto" w:line="240" w:before="0" w:after="0"/>
        <w:ind w:hanging="0" w:left="0" w:right="0"/>
        <w:contextualSpacing/>
        <w:jc w:val="left"/>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000000"/>
          <w:sz w:val="12"/>
          <w:szCs w:val="12"/>
          <w:u w:val="none"/>
        </w:rPr>
      </w:r>
    </w:p>
    <w:tbl>
      <w:tblPr>
        <w:tblW w:w="15705" w:type="dxa"/>
        <w:jc w:val="left"/>
        <w:tblInd w:w="86" w:type="dxa"/>
        <w:tblLayout w:type="fixed"/>
        <w:tblCellMar>
          <w:top w:w="28" w:type="dxa"/>
          <w:left w:w="28" w:type="dxa"/>
          <w:bottom w:w="28" w:type="dxa"/>
          <w:right w:w="28" w:type="dxa"/>
        </w:tblCellMar>
      </w:tblPr>
      <w:tblGrid>
        <w:gridCol w:w="15705"/>
      </w:tblGrid>
      <w:tr>
        <w:trPr/>
        <w:tc>
          <w:tcPr>
            <w:tcW w:w="15705" w:type="dxa"/>
            <w:tcBorders>
              <w:top w:val="single" w:sz="2" w:space="0" w:color="000000"/>
              <w:left w:val="single" w:sz="2" w:space="0" w:color="000000"/>
              <w:bottom w:val="single" w:sz="2" w:space="0" w:color="000000"/>
              <w:right w:val="single" w:sz="2" w:space="0" w:color="000000"/>
            </w:tcBorders>
            <w:shd w:fill="729FCF" w:val="clear"/>
          </w:tcPr>
          <w:p>
            <w:pPr>
              <w:pStyle w:val="Contenudetableauuser"/>
              <w:widowControl w:val="false"/>
              <w:jc w:val="center"/>
              <w:rPr>
                <w:b/>
                <w:bCs/>
                <w:sz w:val="22"/>
                <w:szCs w:val="22"/>
              </w:rPr>
            </w:pPr>
            <w:r>
              <w:rPr>
                <w:b/>
                <w:bCs/>
                <w:sz w:val="22"/>
                <w:szCs w:val="22"/>
              </w:rPr>
              <w:t>Description</w:t>
            </w:r>
          </w:p>
        </w:tc>
      </w:tr>
      <w:tr>
        <w:trPr>
          <w:trHeight w:val="2149" w:hRule="atLeast"/>
        </w:trPr>
        <w:tc>
          <w:tcPr>
            <w:tcW w:w="15705" w:type="dxa"/>
            <w:tcBorders>
              <w:left w:val="single" w:sz="2" w:space="0" w:color="000000"/>
              <w:bottom w:val="single" w:sz="2" w:space="0" w:color="000000"/>
              <w:right w:val="single" w:sz="2" w:space="0" w:color="000000"/>
            </w:tcBorders>
            <w:vAlign w:val="center"/>
          </w:tcPr>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rFonts w:eastAsia="Wingdings" w:cs="Arial"/>
                <w:color w:val="111111"/>
              </w:rPr>
            </w:pPr>
            <w:r>
              <w:rPr>
                <w:rFonts w:eastAsia="Wingdings" w:cs="Arial"/>
                <w:color w:val="111111"/>
              </w:rPr>
            </w:r>
          </w:p>
        </w:tc>
      </w:tr>
    </w:tbl>
    <w:p>
      <w:pPr>
        <w:pStyle w:val="Normal"/>
        <w:ind w:hanging="0" w:left="0" w:right="57"/>
        <w:rPr>
          <w:sz w:val="22"/>
          <w:szCs w:val="22"/>
        </w:rPr>
      </w:pPr>
      <w:r>
        <w:rPr>
          <w:sz w:val="22"/>
          <w:szCs w:val="22"/>
        </w:rPr>
      </w:r>
    </w:p>
    <w:sectPr>
      <w:headerReference w:type="even" r:id="rId22"/>
      <w:headerReference w:type="default" r:id="rId23"/>
      <w:headerReference w:type="first" r:id="rId24"/>
      <w:footerReference w:type="even" r:id="rId25"/>
      <w:footerReference w:type="default" r:id="rId26"/>
      <w:footerReference w:type="first" r:id="rId27"/>
      <w:type w:val="nextPage"/>
      <w:pgSz w:orient="landscape" w:w="16838" w:h="11906"/>
      <w:pgMar w:left="567" w:right="567" w:gutter="0" w:header="0" w:top="567" w:footer="567" w:bottom="1106"/>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Marianne">
    <w:charset w:val="01"/>
    <w:family w:val="roman"/>
    <w:pitch w:val="default"/>
  </w:font>
  <w:font w:name="Liberation Serif">
    <w:altName w:val="Times New Roman"/>
    <w:charset w:val="01"/>
    <w:family w:val="roman"/>
    <w:pitch w:val="default"/>
  </w:font>
  <w:font w:name="OpenSymbol">
    <w:altName w:val="Arial Unicode MS"/>
    <w:charset w:val="01"/>
    <w:family w:val="roman"/>
    <w:pitch w:val="default"/>
  </w:font>
  <w:font w:name="Wingdings">
    <w:charset w:val="01"/>
    <w:family w:val="roman"/>
    <w:pitch w:val="default"/>
  </w:font>
  <w:font w:name="Courier New">
    <w:charset w:val="01"/>
    <w:family w:val="roman"/>
    <w:pitch w:val="default"/>
  </w:font>
  <w:font w:name="Symbol">
    <w:charset w:val="01"/>
    <w:family w:val="roman"/>
    <w:pitch w:val="default"/>
  </w:font>
  <w:font w:name="Liberation Sans">
    <w:altName w:val="Arial"/>
    <w:charset w:val="01"/>
    <w:family w:val="roman"/>
    <w:pitch w:val="default"/>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5000" w:type="pct"/>
      <w:jc w:val="left"/>
      <w:tblInd w:w="170" w:type="dxa"/>
      <w:tblLayout w:type="fixed"/>
      <w:tblCellMar>
        <w:top w:w="55" w:type="dxa"/>
        <w:left w:w="55" w:type="dxa"/>
        <w:bottom w:w="55" w:type="dxa"/>
        <w:right w:w="55" w:type="dxa"/>
      </w:tblCellMar>
    </w:tblPr>
    <w:tblGrid>
      <w:gridCol w:w="3587"/>
      <w:gridCol w:w="3589"/>
      <w:gridCol w:w="3596"/>
    </w:tblGrid>
    <w:tr>
      <w:trPr/>
      <w:tc>
        <w:tcPr>
          <w:tcW w:w="3587" w:type="dxa"/>
          <w:tcBorders>
            <w:top w:val="single" w:sz="4" w:space="0" w:color="000000"/>
            <w:left w:val="single" w:sz="4" w:space="0" w:color="000000"/>
            <w:bottom w:val="single" w:sz="4" w:space="0" w:color="000000"/>
          </w:tcBorders>
        </w:tcPr>
        <w:p>
          <w:pPr>
            <w:pStyle w:val="Footer"/>
            <w:widowControl w:val="false"/>
            <w:ind w:hanging="0" w:left="0" w:right="57"/>
            <w:jc w:val="left"/>
            <w:rPr/>
          </w:pPr>
          <w:r>
            <w:rPr>
              <w:sz w:val="16"/>
              <w:szCs w:val="16"/>
            </w:rPr>
            <w:t>SGC974-SIAP-2025-</w:t>
          </w:r>
          <w:r>
            <w:rPr>
              <w:sz w:val="16"/>
              <w:szCs w:val="16"/>
              <w:shd w:fill="auto" w:val="clear"/>
            </w:rPr>
            <w:t>06</w:t>
          </w:r>
        </w:p>
      </w:tc>
      <w:tc>
        <w:tcPr>
          <w:tcW w:w="3589"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3596"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0</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5</w:t>
          </w:r>
          <w:r>
            <w:rPr>
              <w:sz w:val="16"/>
              <w:szCs w:val="16"/>
            </w:rPr>
            <w:fldChar w:fldCharType="end"/>
          </w:r>
        </w:p>
      </w:tc>
    </w:tr>
  </w:tbl>
  <w:p>
    <w:pPr>
      <w:pStyle w:val="Normal"/>
      <w:rPr>
        <w:sz w:val="4"/>
        <w:szCs w:val="4"/>
      </w:rPr>
    </w:pPr>
    <w:r>
      <w:rPr>
        <w:sz w:val="4"/>
        <w:szCs w:val="4"/>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SGC974-SIAP-2026-01</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5</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5</w:t>
          </w:r>
          <w:r>
            <w:rPr>
              <w:sz w:val="16"/>
              <w:szCs w:val="16"/>
            </w:rPr>
            <w:fldChar w:fldCharType="end"/>
          </w:r>
        </w:p>
      </w:tc>
    </w:tr>
  </w:tbl>
  <w:p>
    <w:pPr>
      <w:pStyle w:val="Normal"/>
      <w:rPr>
        <w:sz w:val="4"/>
        <w:szCs w:val="4"/>
      </w:rPr>
    </w:pPr>
    <w:r>
      <w:rPr>
        <w:sz w:val="4"/>
        <w:szCs w:val="4"/>
      </w:rPr>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SGC974-SIAP-2026-01</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5</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5</w:t>
          </w:r>
          <w:r>
            <w:rPr>
              <w:sz w:val="16"/>
              <w:szCs w:val="16"/>
            </w:rPr>
            <w:fldChar w:fldCharType="end"/>
          </w:r>
        </w:p>
      </w:tc>
    </w:tr>
  </w:tbl>
  <w:p>
    <w:pPr>
      <w:pStyle w:val="Normal"/>
      <w:rPr>
        <w:sz w:val="4"/>
        <w:szCs w:val="4"/>
      </w:rPr>
    </w:pPr>
    <w:r>
      <w:rPr>
        <w:sz w:val="4"/>
        <w:szCs w:val="4"/>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2" w:space="1" w:color="000000"/>
      </w:pBdr>
      <w:ind w:hanging="0" w:left="0" w:right="57"/>
      <w:rPr>
        <w:sz w:val="4"/>
        <w:szCs w:val="4"/>
      </w:rPr>
    </w:pPr>
    <w:r>
      <w:rPr>
        <w:sz w:val="4"/>
        <w:szCs w:val="4"/>
      </w:rPr>
    </w:r>
  </w:p>
  <w:tbl>
    <w:tblPr>
      <w:tblW w:w="5000" w:type="pct"/>
      <w:jc w:val="left"/>
      <w:tblInd w:w="170" w:type="dxa"/>
      <w:tblLayout w:type="fixed"/>
      <w:tblCellMar>
        <w:top w:w="55" w:type="dxa"/>
        <w:left w:w="55" w:type="dxa"/>
        <w:bottom w:w="55" w:type="dxa"/>
        <w:right w:w="55" w:type="dxa"/>
      </w:tblCellMar>
    </w:tblPr>
    <w:tblGrid>
      <w:gridCol w:w="3579"/>
      <w:gridCol w:w="3595"/>
      <w:gridCol w:w="3598"/>
    </w:tblGrid>
    <w:tr>
      <w:trPr/>
      <w:tc>
        <w:tcPr>
          <w:tcW w:w="3579" w:type="dxa"/>
          <w:tcBorders>
            <w:top w:val="single" w:sz="4" w:space="0" w:color="000000"/>
            <w:left w:val="single" w:sz="4" w:space="0" w:color="000000"/>
            <w:bottom w:val="single" w:sz="4" w:space="0" w:color="000000"/>
          </w:tcBorders>
          <w:shd w:fill="FFFFFF" w:val="clear"/>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SGC974-SIAP-2026-01</w:t>
          </w:r>
        </w:p>
      </w:tc>
      <w:tc>
        <w:tcPr>
          <w:tcW w:w="3595" w:type="dxa"/>
          <w:tcBorders>
            <w:top w:val="single" w:sz="4" w:space="0" w:color="000000"/>
            <w:left w:val="single" w:sz="4" w:space="0" w:color="000000"/>
            <w:bottom w:val="single" w:sz="4" w:space="0" w:color="000000"/>
          </w:tcBorders>
          <w:shd w:fill="FFFFFF" w:val="clear"/>
        </w:tcPr>
        <w:p>
          <w:pPr>
            <w:pStyle w:val="Footer"/>
            <w:widowControl w:val="false"/>
            <w:ind w:hanging="0" w:left="0" w:right="57"/>
            <w:jc w:val="left"/>
            <w:rPr>
              <w:sz w:val="20"/>
              <w:szCs w:val="20"/>
            </w:rPr>
          </w:pPr>
          <w:r>
            <w:rPr>
              <w:sz w:val="20"/>
              <w:szCs w:val="20"/>
            </w:rPr>
          </w:r>
        </w:p>
      </w:tc>
      <w:tc>
        <w:tcPr>
          <w:tcW w:w="3598" w:type="dxa"/>
          <w:tcBorders>
            <w:top w:val="single" w:sz="4" w:space="0" w:color="000000"/>
            <w:left w:val="single" w:sz="4" w:space="0" w:color="000000"/>
            <w:bottom w:val="single" w:sz="4" w:space="0" w:color="000000"/>
            <w:right w:val="single" w:sz="4" w:space="0" w:color="000000"/>
          </w:tcBorders>
          <w:shd w:fill="FFFFFF" w:val="clear"/>
        </w:tcPr>
        <w:p>
          <w:pPr>
            <w:pStyle w:val="Footer"/>
            <w:widowControl w:val="false"/>
            <w:ind w:hanging="0" w:left="0" w:right="57"/>
            <w:jc w:val="center"/>
            <w:rPr/>
          </w:pPr>
          <w:r>
            <w:rPr>
              <w:sz w:val="20"/>
              <w:szCs w:val="20"/>
            </w:rPr>
            <w:t xml:space="preserve">Page </w:t>
          </w:r>
          <w:r>
            <w:rPr>
              <w:sz w:val="20"/>
              <w:szCs w:val="20"/>
            </w:rPr>
            <w:fldChar w:fldCharType="begin"/>
          </w:r>
          <w:r>
            <w:rPr>
              <w:sz w:val="20"/>
              <w:szCs w:val="20"/>
            </w:rPr>
            <w:instrText xml:space="preserve"> PAGE </w:instrText>
          </w:r>
          <w:r>
            <w:rPr>
              <w:sz w:val="20"/>
              <w:szCs w:val="20"/>
            </w:rPr>
            <w:fldChar w:fldCharType="separate"/>
          </w:r>
          <w:r>
            <w:rPr>
              <w:sz w:val="20"/>
              <w:szCs w:val="20"/>
            </w:rPr>
            <w:t>2</w:t>
          </w:r>
          <w:r>
            <w:rPr>
              <w:sz w:val="20"/>
              <w:szCs w:val="20"/>
            </w:rPr>
            <w:fldChar w:fldCharType="end"/>
          </w:r>
          <w:r>
            <w:rPr>
              <w:sz w:val="20"/>
              <w:szCs w:val="20"/>
            </w:rPr>
            <w:t xml:space="preserve"> sur </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p>
      </w:tc>
    </w:tr>
  </w:tbl>
  <w:p>
    <w:pPr>
      <w:pStyle w:val="Normal"/>
      <w:rPr>
        <w:sz w:val="4"/>
        <w:szCs w:val="4"/>
      </w:rPr>
    </w:pPr>
    <w:r>
      <w:rPr>
        <w:sz w:val="4"/>
        <w:szCs w:val="4"/>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2" w:space="1" w:color="000000"/>
      </w:pBdr>
      <w:ind w:hanging="0" w:left="0" w:right="57"/>
      <w:rPr>
        <w:sz w:val="4"/>
        <w:szCs w:val="4"/>
      </w:rPr>
    </w:pPr>
    <w:r>
      <w:rPr>
        <w:sz w:val="4"/>
        <w:szCs w:val="4"/>
      </w:rPr>
    </w:r>
  </w:p>
  <w:tbl>
    <w:tblPr>
      <w:tblW w:w="5000" w:type="pct"/>
      <w:jc w:val="left"/>
      <w:tblInd w:w="170" w:type="dxa"/>
      <w:tblLayout w:type="fixed"/>
      <w:tblCellMar>
        <w:top w:w="55" w:type="dxa"/>
        <w:left w:w="55" w:type="dxa"/>
        <w:bottom w:w="55" w:type="dxa"/>
        <w:right w:w="55" w:type="dxa"/>
      </w:tblCellMar>
    </w:tblPr>
    <w:tblGrid>
      <w:gridCol w:w="3579"/>
      <w:gridCol w:w="3595"/>
      <w:gridCol w:w="3598"/>
    </w:tblGrid>
    <w:tr>
      <w:trPr/>
      <w:tc>
        <w:tcPr>
          <w:tcW w:w="3579" w:type="dxa"/>
          <w:tcBorders>
            <w:top w:val="single" w:sz="4" w:space="0" w:color="000000"/>
            <w:left w:val="single" w:sz="4" w:space="0" w:color="000000"/>
            <w:bottom w:val="single" w:sz="4" w:space="0" w:color="000000"/>
          </w:tcBorders>
          <w:shd w:fill="FFFFFF" w:val="clear"/>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SGC974-SIAP-2026-01</w:t>
          </w:r>
        </w:p>
      </w:tc>
      <w:tc>
        <w:tcPr>
          <w:tcW w:w="3595" w:type="dxa"/>
          <w:tcBorders>
            <w:top w:val="single" w:sz="4" w:space="0" w:color="000000"/>
            <w:left w:val="single" w:sz="4" w:space="0" w:color="000000"/>
            <w:bottom w:val="single" w:sz="4" w:space="0" w:color="000000"/>
          </w:tcBorders>
          <w:shd w:fill="FFFFFF" w:val="clear"/>
        </w:tcPr>
        <w:p>
          <w:pPr>
            <w:pStyle w:val="Footer"/>
            <w:widowControl w:val="false"/>
            <w:ind w:hanging="0" w:left="0" w:right="57"/>
            <w:jc w:val="left"/>
            <w:rPr>
              <w:sz w:val="20"/>
              <w:szCs w:val="20"/>
            </w:rPr>
          </w:pPr>
          <w:r>
            <w:rPr>
              <w:sz w:val="20"/>
              <w:szCs w:val="20"/>
            </w:rPr>
          </w:r>
        </w:p>
      </w:tc>
      <w:tc>
        <w:tcPr>
          <w:tcW w:w="3598" w:type="dxa"/>
          <w:tcBorders>
            <w:top w:val="single" w:sz="4" w:space="0" w:color="000000"/>
            <w:left w:val="single" w:sz="4" w:space="0" w:color="000000"/>
            <w:bottom w:val="single" w:sz="4" w:space="0" w:color="000000"/>
            <w:right w:val="single" w:sz="4" w:space="0" w:color="000000"/>
          </w:tcBorders>
          <w:shd w:fill="FFFFFF" w:val="clear"/>
        </w:tcPr>
        <w:p>
          <w:pPr>
            <w:pStyle w:val="Footer"/>
            <w:widowControl w:val="false"/>
            <w:ind w:hanging="0" w:left="0" w:right="57"/>
            <w:jc w:val="center"/>
            <w:rPr/>
          </w:pPr>
          <w:r>
            <w:rPr>
              <w:sz w:val="20"/>
              <w:szCs w:val="20"/>
            </w:rPr>
            <w:t xml:space="preserve">Page </w:t>
          </w:r>
          <w:r>
            <w:rPr>
              <w:sz w:val="20"/>
              <w:szCs w:val="20"/>
            </w:rPr>
            <w:fldChar w:fldCharType="begin"/>
          </w:r>
          <w:r>
            <w:rPr>
              <w:sz w:val="20"/>
              <w:szCs w:val="20"/>
            </w:rPr>
            <w:instrText xml:space="preserve"> PAGE </w:instrText>
          </w:r>
          <w:r>
            <w:rPr>
              <w:sz w:val="20"/>
              <w:szCs w:val="20"/>
            </w:rPr>
            <w:fldChar w:fldCharType="separate"/>
          </w:r>
          <w:r>
            <w:rPr>
              <w:sz w:val="20"/>
              <w:szCs w:val="20"/>
            </w:rPr>
            <w:t>2</w:t>
          </w:r>
          <w:r>
            <w:rPr>
              <w:sz w:val="20"/>
              <w:szCs w:val="20"/>
            </w:rPr>
            <w:fldChar w:fldCharType="end"/>
          </w:r>
          <w:r>
            <w:rPr>
              <w:sz w:val="20"/>
              <w:szCs w:val="20"/>
            </w:rPr>
            <w:t xml:space="preserve"> sur </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p>
      </w:tc>
    </w:tr>
  </w:tbl>
  <w:p>
    <w:pPr>
      <w:pStyle w:val="Normal"/>
      <w:rPr>
        <w:sz w:val="4"/>
        <w:szCs w:val="4"/>
      </w:rPr>
    </w:pPr>
    <w:r>
      <w:rPr>
        <w:sz w:val="4"/>
        <w:szCs w:val="4"/>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3587"/>
      <w:gridCol w:w="3589"/>
      <w:gridCol w:w="3596"/>
    </w:tblGrid>
    <w:tr>
      <w:trPr/>
      <w:tc>
        <w:tcPr>
          <w:tcW w:w="3587" w:type="dxa"/>
          <w:tcBorders>
            <w:top w:val="single" w:sz="4" w:space="0" w:color="000000"/>
            <w:left w:val="single" w:sz="4" w:space="0" w:color="000000"/>
            <w:bottom w:val="single" w:sz="4" w:space="0" w:color="000000"/>
          </w:tcBorders>
        </w:tcPr>
        <w:p>
          <w:pPr>
            <w:pStyle w:val="Footer"/>
            <w:widowControl w:val="false"/>
            <w:ind w:hanging="0" w:left="0" w:right="57"/>
            <w:jc w:val="left"/>
            <w:rPr/>
          </w:pPr>
          <w:r>
            <w:rPr>
              <w:sz w:val="16"/>
              <w:szCs w:val="16"/>
            </w:rPr>
            <w:t>SGC974-SIAP-2025-</w:t>
          </w:r>
          <w:r>
            <w:rPr>
              <w:sz w:val="16"/>
              <w:szCs w:val="16"/>
              <w:shd w:fill="auto" w:val="clear"/>
            </w:rPr>
            <w:t>06</w:t>
          </w:r>
        </w:p>
      </w:tc>
      <w:tc>
        <w:tcPr>
          <w:tcW w:w="3589"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3596"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0</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5</w:t>
          </w:r>
          <w:r>
            <w:rPr>
              <w:sz w:val="16"/>
              <w:szCs w:val="16"/>
            </w:rPr>
            <w:fldChar w:fldCharType="end"/>
          </w:r>
        </w:p>
      </w:tc>
    </w:tr>
  </w:tbl>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SGC974-SIAP-2026-01</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3</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5</w:t>
          </w:r>
          <w:r>
            <w:rPr>
              <w:sz w:val="16"/>
              <w:szCs w:val="16"/>
            </w:rPr>
            <w:fldChar w:fldCharType="end"/>
          </w:r>
        </w:p>
      </w:tc>
    </w:tr>
  </w:tbl>
  <w:p>
    <w:pPr>
      <w:pStyle w:val="Footer"/>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SGC974-SIAP-2026-01</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3</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5</w:t>
          </w:r>
          <w:r>
            <w:rPr>
              <w:sz w:val="16"/>
              <w:szCs w:val="16"/>
            </w:rPr>
            <w:fldChar w:fldCharType="end"/>
          </w:r>
        </w:p>
      </w:tc>
    </w:tr>
  </w:tbl>
  <w:p>
    <w:pPr>
      <w:pStyle w:val="Footer"/>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3587"/>
      <w:gridCol w:w="3589"/>
      <w:gridCol w:w="3596"/>
    </w:tblGrid>
    <w:tr>
      <w:trPr/>
      <w:tc>
        <w:tcPr>
          <w:tcW w:w="3587" w:type="dxa"/>
          <w:tcBorders>
            <w:top w:val="single" w:sz="4" w:space="0" w:color="000000"/>
            <w:left w:val="single" w:sz="4" w:space="0" w:color="000000"/>
            <w:bottom w:val="single" w:sz="4" w:space="0" w:color="000000"/>
          </w:tcBorders>
        </w:tcPr>
        <w:p>
          <w:pPr>
            <w:pStyle w:val="Footer"/>
            <w:widowControl w:val="false"/>
            <w:ind w:hanging="0" w:left="0" w:right="57"/>
            <w:jc w:val="left"/>
            <w:rPr/>
          </w:pPr>
          <w:r>
            <w:rPr>
              <w:sz w:val="16"/>
              <w:szCs w:val="16"/>
            </w:rPr>
            <w:t>SGC974-SIAP-2025-</w:t>
          </w:r>
          <w:r>
            <w:rPr>
              <w:sz w:val="16"/>
              <w:szCs w:val="16"/>
              <w:shd w:fill="auto" w:val="clear"/>
            </w:rPr>
            <w:t>06</w:t>
          </w:r>
        </w:p>
      </w:tc>
      <w:tc>
        <w:tcPr>
          <w:tcW w:w="3589"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3596"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0</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5</w:t>
          </w:r>
          <w:r>
            <w:rPr>
              <w:sz w:val="16"/>
              <w:szCs w:val="16"/>
            </w:rPr>
            <w:fldChar w:fldCharType="end"/>
          </w:r>
        </w:p>
      </w:tc>
    </w:tr>
  </w:tbl>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SGC974-SIAP-2026-01</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5</w:t>
          </w:r>
          <w:r>
            <w:rPr>
              <w:sz w:val="16"/>
              <w:szCs w:val="16"/>
            </w:rPr>
            <w:fldChar w:fldCharType="end"/>
          </w:r>
        </w:p>
      </w:tc>
    </w:tr>
  </w:tbl>
  <w:p>
    <w:pPr>
      <w:pStyle w:val="Footer"/>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SGC974-SIAP-2026-01</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5</w:t>
          </w:r>
          <w:r>
            <w:rPr>
              <w:sz w:val="16"/>
              <w:szCs w:val="16"/>
            </w:rPr>
            <w:fldChar w:fldCharType="end"/>
          </w:r>
        </w:p>
      </w:tc>
    </w:tr>
  </w:tbl>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pBdr>
        <w:bottom w:val="single" w:sz="2" w:space="1" w:color="000000"/>
      </w:pBdr>
      <w:tabs>
        <w:tab w:val="clear" w:pos="4819"/>
        <w:tab w:val="clear" w:pos="9638"/>
      </w:tabs>
      <w:snapToGrid w:val="false"/>
      <w:spacing w:before="0" w:after="0"/>
      <w:ind w:hanging="0" w:left="-91" w:right="-10"/>
      <w:jc w:val="right"/>
      <w:rPr/>
    </w:pPr>
    <w:r>
      <w:rPr>
        <w:rFonts w:eastAsia="SimSun" w:cs="Mangal"/>
        <w:b w:val="false"/>
        <w:bCs w:val="false"/>
        <w:i/>
        <w:iCs/>
        <w:color w:val="000000"/>
        <w:kern w:val="2"/>
        <w:sz w:val="14"/>
        <w:szCs w:val="14"/>
        <w:lang w:val="fr-FR" w:eastAsia="zh-CN" w:bidi="hi-IN"/>
      </w:rPr>
      <w:t xml:space="preserve">Travaux de Rénovation légère du SHLS dans les locaux de la DEALS :  </w:t>
    </w:r>
    <w:r>
      <w:rPr>
        <w:b w:val="false"/>
        <w:bCs w:val="false"/>
        <w:i/>
        <w:iCs/>
        <w:color w:val="000000"/>
        <w:sz w:val="14"/>
        <w:szCs w:val="14"/>
      </w:rPr>
      <w:t>Annexe 1 du RC</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pBdr>
        <w:bottom w:val="single" w:sz="2" w:space="1" w:color="000000"/>
      </w:pBdr>
      <w:tabs>
        <w:tab w:val="clear" w:pos="4819"/>
        <w:tab w:val="clear" w:pos="9638"/>
      </w:tabs>
      <w:snapToGrid w:val="false"/>
      <w:spacing w:before="0" w:after="0"/>
      <w:ind w:hanging="0" w:left="-91" w:right="-10"/>
      <w:jc w:val="right"/>
      <w:rPr/>
    </w:pPr>
    <w:r>
      <w:rPr>
        <w:rFonts w:eastAsia="SimSun" w:cs="Mangal"/>
        <w:b w:val="false"/>
        <w:bCs w:val="false"/>
        <w:i/>
        <w:iCs/>
        <w:color w:val="000000"/>
        <w:kern w:val="2"/>
        <w:sz w:val="14"/>
        <w:szCs w:val="14"/>
        <w:lang w:val="fr-FR" w:eastAsia="zh-CN" w:bidi="hi-IN"/>
      </w:rPr>
      <w:t xml:space="preserve">Travaux de Rénovation légère du SHLS dans les locaux de la DEALS :  </w:t>
    </w:r>
    <w:r>
      <w:rPr>
        <w:b w:val="false"/>
        <w:bCs w:val="false"/>
        <w:i/>
        <w:iCs/>
        <w:color w:val="000000"/>
        <w:sz w:val="14"/>
        <w:szCs w:val="14"/>
      </w:rPr>
      <w:t>Annexe 1 du RC</w: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40"/>
  <w:displayBackgroundShape/>
  <w:defaultTabStop w:val="709"/>
  <w:autoHyphenation w:val="true"/>
  <w:hyphenationZone w:val="360"/>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arianne" w:hAnsi="Marianne" w:eastAsia="Segoe UI" w:cs="Arial Unicode MS"/>
        <w:sz w:val="24"/>
        <w:szCs w:val="24"/>
        <w:lang w:val="fr-FR" w:eastAsia="zxx" w:bidi="hi-IN"/>
      </w:rPr>
    </w:rPrDefault>
    <w:pPrDefault>
      <w:pPr>
        <w:suppressAutoHyphens w:val="true"/>
      </w:pPr>
    </w:pPrDefault>
  </w:docDefaults>
  <w:style w:type="paragraph" w:styleId="Normal">
    <w:name w:val="Normal"/>
    <w:qFormat/>
    <w:pPr>
      <w:widowControl/>
      <w:suppressAutoHyphens w:val="true"/>
      <w:overflowPunct w:val="true"/>
      <w:bidi w:val="0"/>
      <w:snapToGrid w:val="false"/>
      <w:spacing w:before="0" w:after="0"/>
      <w:ind w:hanging="0" w:left="57" w:right="57"/>
      <w:jc w:val="both"/>
    </w:pPr>
    <w:rPr>
      <w:rFonts w:ascii="Liberation Serif;Times New Roman" w:hAnsi="Liberation Serif;Times New Roman" w:eastAsia="SimSun" w:cs="Mangal"/>
      <w:color w:val="auto"/>
      <w:kern w:val="2"/>
      <w:sz w:val="22"/>
      <w:szCs w:val="22"/>
      <w:lang w:val="fr-FR" w:eastAsia="zh-CN" w:bidi="hi-IN"/>
    </w:rPr>
  </w:style>
  <w:style w:type="paragraph" w:styleId="Heading1">
    <w:name w:val="heading 1"/>
    <w:basedOn w:val="Titreuser"/>
    <w:next w:val="BodyText"/>
    <w:qFormat/>
    <w:pPr>
      <w:numPr>
        <w:ilvl w:val="0"/>
        <w:numId w:val="1"/>
      </w:numPr>
      <w:snapToGrid w:val="false"/>
      <w:spacing w:before="0" w:after="0"/>
      <w:ind w:hanging="0" w:left="57" w:right="57"/>
      <w:jc w:val="both"/>
      <w:outlineLvl w:val="0"/>
    </w:pPr>
    <w:rPr>
      <w:b w:val="false"/>
      <w:bCs w:val="false"/>
      <w:sz w:val="22"/>
      <w:szCs w:val="22"/>
    </w:rPr>
  </w:style>
  <w:style w:type="paragraph" w:styleId="Heading2">
    <w:name w:val="heading 2"/>
    <w:basedOn w:val="Titreuser"/>
    <w:next w:val="BodyText"/>
    <w:qFormat/>
    <w:pPr>
      <w:numPr>
        <w:ilvl w:val="1"/>
        <w:numId w:val="1"/>
      </w:numPr>
      <w:spacing w:before="200" w:after="120"/>
      <w:ind w:hanging="0" w:left="57"/>
      <w:outlineLvl w:val="1"/>
    </w:pPr>
    <w:rPr>
      <w:b/>
      <w:bCs/>
      <w:sz w:val="21"/>
      <w:szCs w:val="32"/>
    </w:rPr>
  </w:style>
  <w:style w:type="paragraph" w:styleId="Heading3">
    <w:name w:val="heading 3"/>
    <w:basedOn w:val="Titreuser"/>
    <w:next w:val="BodyText"/>
    <w:qFormat/>
    <w:pPr>
      <w:numPr>
        <w:ilvl w:val="2"/>
        <w:numId w:val="1"/>
      </w:numPr>
      <w:outlineLvl w:val="2"/>
    </w:pPr>
    <w:rPr/>
  </w:style>
  <w:style w:type="character" w:styleId="InternetLink">
    <w:name w:val="Internet Link"/>
    <w:qFormat/>
    <w:rPr>
      <w:color w:val="000080"/>
      <w:u w:val="single"/>
      <w:lang w:val="zxx" w:eastAsia="zxx" w:bidi="zxx"/>
    </w:rPr>
  </w:style>
  <w:style w:type="character" w:styleId="Caractresdenumrotationuser">
    <w:name w:val="Caractères de numérotation (user)"/>
    <w:qFormat/>
    <w:rPr/>
  </w:style>
  <w:style w:type="character" w:styleId="Pucesuser">
    <w:name w:val="Puces (user)"/>
    <w:qFormat/>
    <w:rPr>
      <w:rFonts w:ascii="OpenSymbol;Arial Unicode MS" w:hAnsi="OpenSymbol;Arial Unicode MS" w:eastAsia="OpenSymbol;Arial Unicode MS" w:cs="OpenSymbol;Arial Unicode MS"/>
    </w:rPr>
  </w:style>
  <w:style w:type="character" w:styleId="WW8Num10z0">
    <w:name w:val="WW8Num10z0"/>
    <w:qFormat/>
    <w:rPr>
      <w:rFonts w:ascii="Wingdings" w:hAnsi="Wingdings" w:cs="Wingdings"/>
    </w:rPr>
  </w:style>
  <w:style w:type="character" w:styleId="WW8Num10z1">
    <w:name w:val="WW8Num10z1"/>
    <w:qFormat/>
    <w:rPr>
      <w:rFonts w:ascii="Courier New" w:hAnsi="Courier New" w:cs="Courier New"/>
    </w:rPr>
  </w:style>
  <w:style w:type="character" w:styleId="WW8Num10z3">
    <w:name w:val="WW8Num10z3"/>
    <w:qFormat/>
    <w:rPr>
      <w:rFonts w:ascii="Symbol" w:hAnsi="Symbol" w:cs="Symbol"/>
    </w:rPr>
  </w:style>
  <w:style w:type="character" w:styleId="WW8Num23z0">
    <w:name w:val="WW8Num23z0"/>
    <w:qFormat/>
    <w:rPr>
      <w:rFonts w:ascii="Wingdings" w:hAnsi="Wingdings" w:cs="Wingdings"/>
      <w:color w:val="000000"/>
    </w:rPr>
  </w:style>
  <w:style w:type="character" w:styleId="WW8Num23z1">
    <w:name w:val="WW8Num23z1"/>
    <w:qFormat/>
    <w:rPr>
      <w:rFonts w:ascii="Courier New" w:hAnsi="Courier New" w:cs="Courier New"/>
      <w:color w:val="000000"/>
    </w:rPr>
  </w:style>
  <w:style w:type="character" w:styleId="WW8Num23z3">
    <w:name w:val="WW8Num23z3"/>
    <w:qFormat/>
    <w:rPr>
      <w:rFonts w:ascii="Symbol" w:hAnsi="Symbol" w:cs="Symbol"/>
    </w:rPr>
  </w:style>
  <w:style w:type="character" w:styleId="WW8Num2z0">
    <w:name w:val="WW8Num2z0"/>
    <w:qFormat/>
    <w:rPr>
      <w:rFonts w:ascii="Wingdings" w:hAnsi="Wingdings" w:cs="Wingdings"/>
      <w:color w:val="000000"/>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Character20style">
    <w:name w:val="Character_20_style"/>
    <w:qFormat/>
    <w:rPr/>
  </w:style>
  <w:style w:type="character" w:styleId="Policepardfaut">
    <w:name w:val="Police par défaut"/>
    <w:qFormat/>
    <w:rPr/>
  </w:style>
  <w:style w:type="character" w:styleId="Bullet20Symbols">
    <w:name w:val="Bullet_20_Symbols"/>
    <w:qFormat/>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Liberation Sans;Arial" w:hAnsi="Liberation Sans;Arial" w:eastAsia="Microsoft YaHei" w:cs="Mangal"/>
      <w:sz w:val="28"/>
      <w:szCs w:val="28"/>
    </w:rPr>
  </w:style>
  <w:style w:type="paragraph" w:styleId="En-tteetpieddepageuser">
    <w:name w:val="En-tête et pied de page (user)"/>
    <w:basedOn w:val="Normal"/>
    <w:qFormat/>
    <w:pPr>
      <w:suppressLineNumbers/>
      <w:tabs>
        <w:tab w:val="clear" w:pos="709"/>
        <w:tab w:val="center" w:pos="4819" w:leader="none"/>
        <w:tab w:val="right" w:pos="9638" w:leader="none"/>
      </w:tabs>
    </w:pPr>
    <w:rPr/>
  </w:style>
  <w:style w:type="paragraph" w:styleId="En-tteetpieddepage">
    <w:name w:val="En-tête et pied de page"/>
    <w:basedOn w:val="Normal"/>
    <w:qFormat/>
    <w:pPr/>
    <w:rPr/>
  </w:style>
  <w:style w:type="paragraph" w:styleId="Header">
    <w:name w:val="header"/>
    <w:basedOn w:val="En-tteetpieddepageuser"/>
    <w:pPr>
      <w:suppressLineNumbers/>
    </w:pPr>
    <w:rPr/>
  </w:style>
  <w:style w:type="paragraph" w:styleId="Footer">
    <w:name w:val="footer"/>
    <w:basedOn w:val="En-tteetpieddepageuser"/>
    <w:pPr>
      <w:suppressLineNumbers/>
    </w:pPr>
    <w:rPr/>
  </w:style>
  <w:style w:type="paragraph" w:styleId="Contenudetableauuser">
    <w:name w:val="Contenu de tableau (user)"/>
    <w:basedOn w:val="Normal"/>
    <w:qFormat/>
    <w:pPr>
      <w:widowControl w:val="false"/>
      <w:suppressLineNumbers/>
    </w:pPr>
    <w:rPr/>
  </w:style>
  <w:style w:type="paragraph" w:styleId="Title">
    <w:name w:val="Title"/>
    <w:basedOn w:val="Titreuser"/>
    <w:next w:val="BodyText"/>
    <w:qFormat/>
    <w:pPr>
      <w:jc w:val="center"/>
    </w:pPr>
    <w:rPr>
      <w:b/>
      <w:bCs/>
      <w:sz w:val="56"/>
      <w:szCs w:val="56"/>
    </w:rPr>
  </w:style>
  <w:style w:type="paragraph" w:styleId="Parareponse">
    <w:name w:val="Para_reponse"/>
    <w:basedOn w:val="Normal"/>
    <w:qFormat/>
    <w:pPr>
      <w:spacing w:before="120" w:after="120"/>
    </w:pPr>
    <w:rPr/>
  </w:style>
  <w:style w:type="paragraph" w:styleId="Titredetableauuser">
    <w:name w:val="Titre de tableau (user)"/>
    <w:basedOn w:val="Contenudetableauuser"/>
    <w:qFormat/>
    <w:pPr>
      <w:suppressLineNumbers/>
      <w:jc w:val="center"/>
    </w:pPr>
    <w:rPr>
      <w:b/>
      <w:bCs/>
    </w:rPr>
  </w:style>
  <w:style w:type="paragraph" w:styleId="Paragraphe">
    <w:name w:val="Paragraphe"/>
    <w:basedOn w:val="Normal"/>
    <w:qFormat/>
    <w:pPr>
      <w:bidi w:val="0"/>
      <w:spacing w:before="120" w:after="0"/>
      <w:jc w:val="both"/>
    </w:pPr>
    <w:rPr>
      <w:rFonts w:ascii="Arial" w:hAnsi="Arial" w:cs="Arial"/>
      <w:sz w:val="20"/>
    </w:rPr>
  </w:style>
  <w:style w:type="paragraph" w:styleId="Default">
    <w:name w:val="Default"/>
    <w:qFormat/>
    <w:pPr>
      <w:widowControl/>
      <w:suppressAutoHyphens w:val="true"/>
      <w:overflowPunct w:val="true"/>
      <w:bidi w:val="0"/>
      <w:spacing w:before="0" w:after="0"/>
      <w:jc w:val="left"/>
    </w:pPr>
    <w:rPr>
      <w:rFonts w:ascii="Arial" w:hAnsi="Arial" w:eastAsia="SimSun" w:cs="Mangal"/>
      <w:color w:val="000000"/>
      <w:kern w:val="2"/>
      <w:sz w:val="24"/>
      <w:szCs w:val="24"/>
      <w:lang w:val="fr-FR" w:eastAsia="zh-CN" w:bidi="hi-IN"/>
    </w:rPr>
  </w:style>
  <w:style w:type="paragraph" w:styleId="Paragraphedeliste">
    <w:name w:val="Paragraphe de liste"/>
    <w:basedOn w:val="Normal"/>
    <w:qFormat/>
    <w:pPr>
      <w:spacing w:before="0" w:after="200"/>
      <w:ind w:hanging="0" w:left="720" w:right="57"/>
      <w:contextualSpacing/>
    </w:pPr>
    <w:rPr/>
  </w:style>
  <w:style w:type="paragraph" w:styleId="Trame">
    <w:name w:val="Trame"/>
    <w:basedOn w:val="Normal"/>
    <w:qFormat/>
    <w:pPr>
      <w:shd w:val="clear" w:fill="CCCCCC"/>
      <w:jc w:val="center"/>
    </w:pPr>
    <w:rPr>
      <w:b/>
      <w:sz w:val="40"/>
    </w:rPr>
  </w:style>
  <w:style w:type="paragraph" w:styleId="Sansnom1">
    <w:name w:val="Sans nom1"/>
    <w:basedOn w:val="Heading3"/>
    <w:qFormat/>
    <w:pPr>
      <w:keepNext w:val="true"/>
      <w:numPr>
        <w:ilvl w:val="0"/>
        <w:numId w:val="0"/>
      </w:numPr>
      <w:spacing w:before="113" w:after="119"/>
      <w:ind w:hanging="0" w:left="57" w:right="57"/>
      <w:jc w:val="left"/>
    </w:pPr>
    <w:rPr>
      <w:rFonts w:ascii="Arial" w:hAnsi="Arial" w:cs="Arial"/>
      <w:b/>
      <w:bCs/>
      <w:szCs w:val="28"/>
    </w:rPr>
  </w:style>
  <w:style w:type="paragraph" w:styleId="ListParagraph">
    <w:name w:val="List Paragraph"/>
    <w:basedOn w:val="Normal"/>
    <w:qFormat/>
    <w:pPr>
      <w:spacing w:before="0" w:after="0"/>
      <w:ind w:hanging="0" w:left="720" w:right="57"/>
      <w:contextualSpacing/>
    </w:pPr>
    <w:rPr/>
  </w:style>
  <w:style w:type="paragraph" w:styleId="Paradouble">
    <w:name w:val="Para_double"/>
    <w:qFormat/>
    <w:pPr>
      <w:widowControl w:val="false"/>
      <w:suppressAutoHyphens w:val="true"/>
      <w:overflowPunct w:val="true"/>
      <w:bidi w:val="0"/>
      <w:spacing w:before="120" w:after="240"/>
      <w:jc w:val="both"/>
    </w:pPr>
    <w:rPr>
      <w:rFonts w:ascii="Liberation Serif;Times New Roman" w:hAnsi="Liberation Serif;Times New Roman" w:eastAsia="SimSun" w:cs="Mangal"/>
      <w:color w:val="auto"/>
      <w:kern w:val="2"/>
      <w:sz w:val="24"/>
      <w:szCs w:val="24"/>
      <w:lang w:val="fr-FR" w:eastAsia="zh-CN" w:bidi="hi-IN"/>
    </w:rPr>
  </w:style>
  <w:style w:type="paragraph" w:styleId="Corpsdetexte3">
    <w:name w:val="Corps de texte 3"/>
    <w:basedOn w:val="Normal"/>
    <w:qFormat/>
    <w:pPr>
      <w:tabs>
        <w:tab w:val="clear" w:pos="709"/>
        <w:tab w:val="left" w:pos="720" w:leader="none"/>
        <w:tab w:val="left" w:pos="9639" w:leader="dot"/>
      </w:tabs>
      <w:jc w:val="both"/>
    </w:pPr>
    <w:rPr>
      <w:rFonts w:ascii="Arial" w:hAnsi="Arial" w:eastAsia="Arial" w:cs="Arial"/>
    </w:rPr>
  </w:style>
  <w:style w:type="paragraph" w:styleId="Reponse">
    <w:name w:val="Reponse"/>
    <w:basedOn w:val="Normal"/>
    <w:qFormat/>
    <w:pPr>
      <w:ind w:hanging="0" w:left="567" w:right="567"/>
    </w:pPr>
    <w:rPr/>
  </w:style>
  <w:style w:type="paragraph" w:styleId="Cadrerelief">
    <w:name w:val="Cadre_relief"/>
    <w:basedOn w:val="Normal"/>
    <w:qFormat/>
    <w:pPr>
      <w:pBdr>
        <w:top w:val="double" w:sz="2" w:space="14" w:color="000000"/>
        <w:left w:val="double" w:sz="2" w:space="14" w:color="000000"/>
        <w:bottom w:val="double" w:sz="2" w:space="14" w:color="000000"/>
        <w:right w:val="double" w:sz="2" w:space="14" w:color="000000"/>
      </w:pBdr>
      <w:ind w:hanging="0" w:left="284" w:right="283"/>
    </w:pPr>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footer" Target="footer6.xml"/><Relationship Id="rId16" Type="http://schemas.openxmlformats.org/officeDocument/2006/relationships/header" Target="header7.xml"/><Relationship Id="rId17" Type="http://schemas.openxmlformats.org/officeDocument/2006/relationships/header" Target="header8.xml"/><Relationship Id="rId18" Type="http://schemas.openxmlformats.org/officeDocument/2006/relationships/header" Target="header9.xml"/><Relationship Id="rId19" Type="http://schemas.openxmlformats.org/officeDocument/2006/relationships/footer" Target="footer7.xml"/><Relationship Id="rId20" Type="http://schemas.openxmlformats.org/officeDocument/2006/relationships/footer" Target="footer8.xml"/><Relationship Id="rId21" Type="http://schemas.openxmlformats.org/officeDocument/2006/relationships/footer" Target="footer9.xml"/><Relationship Id="rId22" Type="http://schemas.openxmlformats.org/officeDocument/2006/relationships/header" Target="header10.xml"/><Relationship Id="rId23" Type="http://schemas.openxmlformats.org/officeDocument/2006/relationships/header" Target="header11.xml"/><Relationship Id="rId24" Type="http://schemas.openxmlformats.org/officeDocument/2006/relationships/header" Target="header12.xml"/><Relationship Id="rId25" Type="http://schemas.openxmlformats.org/officeDocument/2006/relationships/footer" Target="footer10.xml"/><Relationship Id="rId26" Type="http://schemas.openxmlformats.org/officeDocument/2006/relationships/footer" Target="footer11.xml"/><Relationship Id="rId27" Type="http://schemas.openxmlformats.org/officeDocument/2006/relationships/footer" Target="footer12.xml"/><Relationship Id="rId28" Type="http://schemas.openxmlformats.org/officeDocument/2006/relationships/numbering" Target="numbering.xml"/><Relationship Id="rId29" Type="http://schemas.openxmlformats.org/officeDocument/2006/relationships/fontTable" Target="fontTable.xml"/><Relationship Id="rId30" Type="http://schemas.openxmlformats.org/officeDocument/2006/relationships/settings" Target="settings.xml"/><Relationship Id="rId3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5</Pages>
  <Words>377</Words>
  <Characters>1948</Characters>
  <CharactersWithSpaces>2297</CharactersWithSpaces>
  <Paragraphs>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